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26B26" w14:textId="4A44515F" w:rsidR="00000000" w:rsidRDefault="00000000" w:rsidP="002D066B">
      <w:pPr>
        <w:tabs>
          <w:tab w:val="left" w:pos="990"/>
        </w:tabs>
      </w:pPr>
      <w:bookmarkStart w:id="0" w:name="__RefNumPara__31_1295150969"/>
      <w:bookmarkStart w:id="1" w:name="_Ref266369691"/>
      <w:bookmarkStart w:id="2" w:name="__RefNumPara__2685_2009998551"/>
      <w:bookmarkStart w:id="3" w:name="__RefNumPara__2687_2009998551"/>
      <w:bookmarkStart w:id="4" w:name="__RefNumPara__1968_951826440"/>
      <w:bookmarkStart w:id="5" w:name="_Ref226771980"/>
      <w:bookmarkEnd w:id="0"/>
      <w:bookmarkEnd w:id="1"/>
      <w:bookmarkEnd w:id="2"/>
      <w:bookmarkEnd w:id="3"/>
      <w:bookmarkEnd w:id="4"/>
      <w:bookmarkEnd w:id="5"/>
    </w:p>
    <w:p w14:paraId="091FA9EB" w14:textId="2FE4794D" w:rsidR="00C607AD" w:rsidRDefault="00C607AD" w:rsidP="002D066B">
      <w:pPr>
        <w:tabs>
          <w:tab w:val="left" w:pos="990"/>
        </w:tabs>
      </w:pPr>
    </w:p>
    <w:p w14:paraId="6B0E5B48" w14:textId="43CF28ED" w:rsidR="00C607AD" w:rsidRDefault="00C607AD" w:rsidP="002D066B">
      <w:pPr>
        <w:tabs>
          <w:tab w:val="left" w:pos="990"/>
        </w:tabs>
      </w:pPr>
    </w:p>
    <w:p w14:paraId="2B14C18D" w14:textId="77777777" w:rsidR="00DC511E" w:rsidRPr="00DC511E" w:rsidRDefault="00DC511E" w:rsidP="00DC511E">
      <w:pPr>
        <w:suppressAutoHyphens/>
        <w:jc w:val="center"/>
        <w:rPr>
          <w:rFonts w:ascii="Arial" w:eastAsia="Times New Roman" w:hAnsi="Arial" w:cs="Arial"/>
          <w:sz w:val="32"/>
          <w:szCs w:val="32"/>
        </w:rPr>
      </w:pPr>
      <w:r w:rsidRPr="00DC511E">
        <w:rPr>
          <w:rFonts w:ascii="Arial" w:eastAsia="Times New Roman" w:hAnsi="Arial" w:cs="Arial"/>
          <w:sz w:val="32"/>
          <w:szCs w:val="32"/>
          <w:lang w:eastAsia="ar-SA"/>
        </w:rPr>
        <w:t>Technické a provozní standardy Veřejné dopravy Vysočiny</w:t>
      </w:r>
    </w:p>
    <w:p w14:paraId="142CF1E2" w14:textId="49256C3B" w:rsidR="00C607AD" w:rsidRPr="00DC511E" w:rsidRDefault="00DC511E" w:rsidP="00DC511E">
      <w:pPr>
        <w:keepNext/>
        <w:suppressAutoHyphens/>
        <w:spacing w:before="274" w:after="360"/>
        <w:jc w:val="center"/>
        <w:rPr>
          <w:rFonts w:ascii="Arial" w:eastAsia="Times New Roman" w:hAnsi="Arial" w:cs="Arial"/>
          <w:sz w:val="28"/>
          <w:szCs w:val="28"/>
          <w:lang w:eastAsia="ar-SA"/>
        </w:rPr>
      </w:pPr>
      <w:r w:rsidRPr="00DC511E">
        <w:rPr>
          <w:rFonts w:ascii="Arial" w:eastAsia="Times New Roman" w:hAnsi="Arial" w:cs="Arial"/>
          <w:sz w:val="28"/>
          <w:szCs w:val="28"/>
          <w:lang w:eastAsia="ar-SA"/>
        </w:rPr>
        <w:t>Ekonomika VDV</w:t>
      </w:r>
    </w:p>
    <w:p w14:paraId="58DAE005" w14:textId="77777777" w:rsidR="00C607AD" w:rsidRPr="00B51921" w:rsidRDefault="00C607AD" w:rsidP="00C607AD">
      <w:pPr>
        <w:keepNext/>
        <w:numPr>
          <w:ilvl w:val="0"/>
          <w:numId w:val="10"/>
        </w:numPr>
        <w:tabs>
          <w:tab w:val="clear" w:pos="432"/>
          <w:tab w:val="num" w:pos="0"/>
        </w:tabs>
        <w:suppressAutoHyphens/>
        <w:spacing w:before="274" w:after="173" w:line="256" w:lineRule="auto"/>
        <w:ind w:left="0" w:firstLine="0"/>
        <w:jc w:val="both"/>
        <w:rPr>
          <w:rFonts w:ascii="Arial" w:eastAsia="Times New Roman" w:hAnsi="Arial" w:cs="DejaVu Sans"/>
          <w:b/>
          <w:spacing w:val="40"/>
          <w:sz w:val="28"/>
          <w:szCs w:val="28"/>
          <w:lang w:eastAsia="ar-SA"/>
        </w:rPr>
      </w:pPr>
      <w:r w:rsidRPr="00B51921">
        <w:rPr>
          <w:rFonts w:ascii="Arial" w:eastAsia="Times New Roman" w:hAnsi="Arial" w:cs="Arial"/>
          <w:b/>
          <w:spacing w:val="40"/>
          <w:sz w:val="28"/>
          <w:szCs w:val="28"/>
          <w:lang w:eastAsia="ar-SA"/>
        </w:rPr>
        <w:t>Principy zúčtování v integrovaném dopravním systému Veřejná doprava Vysočiny a funkce zúčtovacího centra</w:t>
      </w:r>
    </w:p>
    <w:p w14:paraId="5FD10258" w14:textId="77777777" w:rsidR="00C607AD" w:rsidRPr="007C400D" w:rsidRDefault="00C607AD" w:rsidP="00C607AD">
      <w:pPr>
        <w:spacing w:after="220" w:line="276" w:lineRule="auto"/>
        <w:rPr>
          <w:rFonts w:ascii="Arial" w:eastAsia="Calibri" w:hAnsi="Arial" w:cs="Times New Roman"/>
          <w:iCs/>
        </w:rPr>
      </w:pPr>
      <w:r w:rsidRPr="007C400D">
        <w:rPr>
          <w:rFonts w:ascii="Arial" w:eastAsia="Calibri" w:hAnsi="Arial" w:cs="Times New Roman"/>
          <w:iCs/>
        </w:rPr>
        <w:t>Tento dokument definuje principy zúčtování používané v rámci Veřejné dopravy Vysočiny.</w:t>
      </w:r>
    </w:p>
    <w:p w14:paraId="7053E4B3" w14:textId="77777777" w:rsidR="00C607AD" w:rsidRPr="007C400D" w:rsidRDefault="00C607AD" w:rsidP="00C607AD">
      <w:pPr>
        <w:spacing w:after="220" w:line="276" w:lineRule="auto"/>
        <w:rPr>
          <w:rFonts w:ascii="Arial" w:eastAsia="Calibri" w:hAnsi="Arial" w:cs="Times New Roman"/>
          <w:iCs/>
        </w:rPr>
      </w:pPr>
      <w:r>
        <w:rPr>
          <w:rFonts w:ascii="Arial" w:eastAsia="Calibri" w:hAnsi="Arial" w:cs="Times New Roman"/>
          <w:iCs/>
        </w:rPr>
        <w:t xml:space="preserve">Dokument je určen </w:t>
      </w:r>
      <w:r w:rsidRPr="007C400D">
        <w:rPr>
          <w:rFonts w:ascii="Arial" w:eastAsia="Calibri" w:hAnsi="Arial" w:cs="Times New Roman"/>
          <w:iCs/>
        </w:rPr>
        <w:t>jednotlivým dopravcům zapojeným v systému Veřejná doprava Vysočiny (VDV), dodavatelům jejich odbavovacích systémů a dodavatelům zúčtovacího centra.</w:t>
      </w:r>
    </w:p>
    <w:p w14:paraId="5D799518" w14:textId="77777777" w:rsidR="00C607AD" w:rsidRDefault="00C607AD" w:rsidP="00C607AD">
      <w:pPr>
        <w:spacing w:after="220" w:line="276" w:lineRule="auto"/>
        <w:rPr>
          <w:rFonts w:ascii="Arial" w:eastAsia="Calibri" w:hAnsi="Arial" w:cs="Times New Roman"/>
          <w:iCs/>
        </w:rPr>
      </w:pPr>
      <w:r w:rsidRPr="007C400D">
        <w:rPr>
          <w:rFonts w:ascii="Arial" w:eastAsia="Calibri" w:hAnsi="Arial" w:cs="Times New Roman"/>
          <w:iCs/>
        </w:rPr>
        <w:t>V případě požadavku na změny tohoto dokumentu je potřeba kontaktovat Odbor dopravy</w:t>
      </w:r>
      <w:r>
        <w:rPr>
          <w:rFonts w:ascii="Arial" w:eastAsia="Calibri" w:hAnsi="Arial" w:cs="Times New Roman"/>
          <w:iCs/>
        </w:rPr>
        <w:br/>
      </w:r>
      <w:r w:rsidRPr="007C400D">
        <w:rPr>
          <w:rFonts w:ascii="Arial" w:eastAsia="Calibri" w:hAnsi="Arial" w:cs="Times New Roman"/>
          <w:iCs/>
        </w:rPr>
        <w:t>a silničního hospodářství Krajského úřadu Kraje Vysočina, který žádost na změnu posoudí</w:t>
      </w:r>
      <w:r>
        <w:rPr>
          <w:rFonts w:ascii="Arial" w:eastAsia="Calibri" w:hAnsi="Arial" w:cs="Times New Roman"/>
          <w:iCs/>
        </w:rPr>
        <w:br/>
      </w:r>
      <w:r w:rsidRPr="007C400D">
        <w:rPr>
          <w:rFonts w:ascii="Arial" w:eastAsia="Calibri" w:hAnsi="Arial" w:cs="Times New Roman"/>
          <w:iCs/>
        </w:rPr>
        <w:t>a následně v případě souhlasu změnu provede.</w:t>
      </w:r>
    </w:p>
    <w:p w14:paraId="1C59B37B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>Základní pojmy</w:t>
      </w:r>
    </w:p>
    <w:p w14:paraId="38472F87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Clearing tržeb</w:t>
      </w:r>
      <w:r>
        <w:rPr>
          <w:rFonts w:ascii="Arial" w:eastAsia="Times New Roman" w:hAnsi="Arial" w:cs="Arial"/>
          <w:lang w:eastAsia="ar-SA"/>
        </w:rPr>
        <w:t xml:space="preserve"> je rozúčtování tržeb, rozdělení tržeb</w:t>
      </w:r>
    </w:p>
    <w:p w14:paraId="1DF7309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2F0F4BC6" w14:textId="04EBC244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Jízdní doklad VDV</w:t>
      </w:r>
      <w:r>
        <w:rPr>
          <w:rFonts w:ascii="Arial" w:eastAsia="Times New Roman" w:hAnsi="Arial" w:cs="Arial"/>
          <w:lang w:eastAsia="ar-SA"/>
        </w:rPr>
        <w:t xml:space="preserve"> je papírový jízdní doklad s QR kódem, nebo papírový jízdní doklad bez QR kódu, ale obsahující stejné náležitosti jako papírový jízdní doklad s QR kódem, </w:t>
      </w:r>
      <w:r w:rsidR="002517CB">
        <w:rPr>
          <w:rFonts w:ascii="Arial" w:eastAsia="Times New Roman" w:hAnsi="Arial" w:cs="Arial"/>
          <w:lang w:eastAsia="ar-SA"/>
        </w:rPr>
        <w:t>vyjma</w:t>
      </w:r>
      <w:r>
        <w:rPr>
          <w:rFonts w:ascii="Arial" w:eastAsia="Times New Roman" w:hAnsi="Arial" w:cs="Arial"/>
          <w:lang w:eastAsia="ar-SA"/>
        </w:rPr>
        <w:t xml:space="preserve"> QR kódu.</w:t>
      </w:r>
    </w:p>
    <w:p w14:paraId="78DAB2A2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7903EA88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Sezónní dopravce</w:t>
      </w:r>
      <w:r>
        <w:rPr>
          <w:rFonts w:ascii="Arial" w:eastAsia="Times New Roman" w:hAnsi="Arial" w:cs="Arial"/>
          <w:lang w:eastAsia="ar-SA"/>
        </w:rPr>
        <w:t xml:space="preserve"> je dopravce zajišťující provoz po část roku.</w:t>
      </w:r>
    </w:p>
    <w:p w14:paraId="2649630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68682A7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Validátor</w:t>
      </w:r>
      <w:r>
        <w:rPr>
          <w:rFonts w:ascii="Arial" w:eastAsia="Times New Roman" w:hAnsi="Arial" w:cs="Arial"/>
          <w:lang w:eastAsia="ar-SA"/>
        </w:rPr>
        <w:t xml:space="preserve"> je stacionární odbavovací zařízení s předem nadefinovaným typem jízdního dokladu VDV. </w:t>
      </w:r>
    </w:p>
    <w:p w14:paraId="7F317F1A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28E5F5EB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Provider ID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63713C">
        <w:rPr>
          <w:rFonts w:ascii="Arial" w:eastAsia="Times New Roman" w:hAnsi="Arial" w:cs="Arial"/>
          <w:lang w:eastAsia="ar-SA"/>
        </w:rPr>
        <w:t>je</w:t>
      </w:r>
      <w:r>
        <w:rPr>
          <w:rFonts w:ascii="Arial" w:eastAsia="Times New Roman" w:hAnsi="Arial" w:cs="Arial"/>
          <w:lang w:eastAsia="ar-SA"/>
        </w:rPr>
        <w:t xml:space="preserve"> číslo dopravce u zúčtovacího centra, které určí zúčtovací centrum.</w:t>
      </w:r>
    </w:p>
    <w:p w14:paraId="1917FA6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47ED5C6A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Typ jízdenky</w:t>
      </w:r>
      <w:r>
        <w:rPr>
          <w:rFonts w:ascii="Arial" w:eastAsia="Times New Roman" w:hAnsi="Arial" w:cs="Arial"/>
          <w:lang w:eastAsia="ar-SA"/>
        </w:rPr>
        <w:t xml:space="preserve"> je </w:t>
      </w:r>
      <w:r w:rsidRPr="003046E3">
        <w:rPr>
          <w:rFonts w:ascii="Arial" w:eastAsia="Times New Roman" w:hAnsi="Arial" w:cs="Arial"/>
          <w:lang w:eastAsia="ar-SA"/>
        </w:rPr>
        <w:t>papírový jízdní doklad s QR kódem</w:t>
      </w:r>
      <w:r>
        <w:rPr>
          <w:rFonts w:ascii="Arial" w:eastAsia="Times New Roman" w:hAnsi="Arial" w:cs="Arial"/>
          <w:lang w:eastAsia="ar-SA"/>
        </w:rPr>
        <w:t xml:space="preserve"> v rozlišení na prodej, odbavení, přestup</w:t>
      </w:r>
      <w:r w:rsidRPr="003046E3">
        <w:rPr>
          <w:rFonts w:ascii="Arial" w:eastAsia="Times New Roman" w:hAnsi="Arial" w:cs="Arial"/>
          <w:lang w:eastAsia="ar-SA"/>
        </w:rPr>
        <w:t>, nebo papírový jízdní doklad bez QR kódu</w:t>
      </w:r>
      <w:r>
        <w:rPr>
          <w:rFonts w:ascii="Arial" w:eastAsia="Times New Roman" w:hAnsi="Arial" w:cs="Arial"/>
          <w:lang w:eastAsia="ar-SA"/>
        </w:rPr>
        <w:t>.</w:t>
      </w:r>
    </w:p>
    <w:p w14:paraId="77FF2E0A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1396262E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02435F99" w14:textId="77777777" w:rsidR="00C607AD" w:rsidRDefault="00C607AD" w:rsidP="00C607AD">
      <w:pPr>
        <w:pStyle w:val="Odstavecseseznamem"/>
        <w:ind w:left="432"/>
        <w:rPr>
          <w:b/>
          <w:bCs/>
          <w:sz w:val="28"/>
          <w:szCs w:val="28"/>
          <w:lang w:eastAsia="ar-SA"/>
        </w:rPr>
      </w:pPr>
    </w:p>
    <w:p w14:paraId="6DB71C7D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>Rozdělení dopravců v Kraji Vysočina</w:t>
      </w:r>
    </w:p>
    <w:p w14:paraId="24CCD230" w14:textId="77777777" w:rsidR="00C607AD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Veřejná doprava je v Kraji Vysočina rozdělena do oblastí, v každé oblasti může být více dopravců a dopravci se v oblastech mohou opakovat. Dopravci se budou následně rozdělovat na:</w:t>
      </w:r>
    </w:p>
    <w:p w14:paraId="60A83FB2" w14:textId="616D8CBA" w:rsidR="00C607AD" w:rsidRDefault="00C607AD" w:rsidP="00963B8B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lastRenderedPageBreak/>
        <w:t>Dopravce, kteří mají uzavř</w:t>
      </w:r>
      <w:r w:rsidR="00B86026">
        <w:rPr>
          <w:rFonts w:ascii="Arial" w:eastAsia="Calibri" w:hAnsi="Arial" w:cs="Times New Roman"/>
        </w:rPr>
        <w:t xml:space="preserve">enou smlouvu o závazku veřejné </w:t>
      </w:r>
      <w:r w:rsidR="00FE2A2F">
        <w:rPr>
          <w:rFonts w:ascii="Arial" w:eastAsia="Calibri" w:hAnsi="Arial" w:cs="Times New Roman"/>
        </w:rPr>
        <w:t xml:space="preserve">služby s Krajem </w:t>
      </w:r>
      <w:r w:rsidR="00B86026">
        <w:rPr>
          <w:rFonts w:ascii="Arial" w:eastAsia="Calibri" w:hAnsi="Arial" w:cs="Times New Roman"/>
        </w:rPr>
        <w:tab/>
        <w:t xml:space="preserve">Vysočina </w:t>
      </w:r>
      <w:r>
        <w:rPr>
          <w:rFonts w:ascii="Arial" w:eastAsia="Calibri" w:hAnsi="Arial" w:cs="Times New Roman"/>
        </w:rPr>
        <w:t>a jsou účastni clearingu tržeb tarifu VDV.</w:t>
      </w:r>
    </w:p>
    <w:p w14:paraId="31A07BB6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Dopravce, kteří mají uzavřenou smlouvu o závazku veřejné služby s Krajem Vysočina, </w:t>
      </w:r>
      <w:r>
        <w:rPr>
          <w:rFonts w:ascii="Arial" w:eastAsia="Calibri" w:hAnsi="Arial" w:cs="Times New Roman"/>
        </w:rPr>
        <w:tab/>
        <w:t>ale nejsou účastni clearingu tržeb tarifu VDV (např. sezónní dopravce).</w:t>
      </w:r>
    </w:p>
    <w:p w14:paraId="74B6CC1B" w14:textId="26E223C8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Dopravce, kteří mají uzavřenou smlou</w:t>
      </w:r>
      <w:r w:rsidR="002517CB">
        <w:rPr>
          <w:rFonts w:ascii="Arial" w:eastAsia="Calibri" w:hAnsi="Arial" w:cs="Times New Roman"/>
        </w:rPr>
        <w:t xml:space="preserve">vu s jiným krajem, ale zároveň </w:t>
      </w:r>
      <w:r>
        <w:rPr>
          <w:rFonts w:ascii="Arial" w:eastAsia="Calibri" w:hAnsi="Arial" w:cs="Times New Roman"/>
        </w:rPr>
        <w:t>jsou</w:t>
      </w:r>
      <w:r>
        <w:rPr>
          <w:rFonts w:ascii="Arial" w:eastAsia="Calibri" w:hAnsi="Arial" w:cs="Times New Roman"/>
        </w:rPr>
        <w:br/>
      </w:r>
      <w:r>
        <w:rPr>
          <w:rFonts w:ascii="Arial" w:eastAsia="Calibri" w:hAnsi="Arial" w:cs="Times New Roman"/>
        </w:rPr>
        <w:tab/>
        <w:t>účastni clearingu tržeb tarifu VDV, z důvodu prodeje jízdních dokladů v tarifu VDV.</w:t>
      </w:r>
    </w:p>
    <w:p w14:paraId="23C12398" w14:textId="489B6C66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Dopravce, kteří nemají uzavřenou smlouvu o závazku veřejné služby s Krajem </w:t>
      </w:r>
      <w:r>
        <w:rPr>
          <w:rFonts w:ascii="Arial" w:eastAsia="Calibri" w:hAnsi="Arial" w:cs="Times New Roman"/>
        </w:rPr>
        <w:tab/>
        <w:t xml:space="preserve">Vysočina, ale jsou provozovateli městské hromadné dopravy (dále „MHD“). Do </w:t>
      </w:r>
      <w:r>
        <w:rPr>
          <w:rFonts w:ascii="Arial" w:eastAsia="Calibri" w:hAnsi="Arial" w:cs="Times New Roman"/>
        </w:rPr>
        <w:tab/>
        <w:t xml:space="preserve">systému rozúčtování tržeb vstupují na základě přístupové smlouvy se zúčtovacím </w:t>
      </w:r>
      <w:r>
        <w:rPr>
          <w:rFonts w:ascii="Arial" w:eastAsia="Calibri" w:hAnsi="Arial" w:cs="Times New Roman"/>
        </w:rPr>
        <w:tab/>
        <w:t xml:space="preserve">centrem. Zúčtovací centrum vyčíslí tržby za vydané jízdní doklady VDV pro přepravu </w:t>
      </w:r>
      <w:r>
        <w:rPr>
          <w:rFonts w:ascii="Arial" w:eastAsia="Calibri" w:hAnsi="Arial" w:cs="Times New Roman"/>
        </w:rPr>
        <w:tab/>
        <w:t>v tarifních</w:t>
      </w:r>
      <w:r w:rsidR="00B86026">
        <w:rPr>
          <w:rFonts w:ascii="Arial" w:eastAsia="Calibri" w:hAnsi="Arial" w:cs="Times New Roman"/>
        </w:rPr>
        <w:t xml:space="preserve"> zónách VDV (shodné </w:t>
      </w:r>
      <w:r>
        <w:rPr>
          <w:rFonts w:ascii="Arial" w:eastAsia="Calibri" w:hAnsi="Arial" w:cs="Times New Roman"/>
        </w:rPr>
        <w:t xml:space="preserve">s působnosti dané MHD) a výši těchto tržeb zašle </w:t>
      </w:r>
      <w:r>
        <w:rPr>
          <w:rFonts w:ascii="Arial" w:eastAsia="Calibri" w:hAnsi="Arial" w:cs="Times New Roman"/>
        </w:rPr>
        <w:tab/>
      </w:r>
      <w:sdt>
        <w:sdtPr>
          <w:rPr>
            <w:rFonts w:ascii="Arial" w:eastAsia="Calibri" w:hAnsi="Arial" w:cs="Times New Roman"/>
          </w:rPr>
          <w:id w:val="-1500805424"/>
          <w:placeholder>
            <w:docPart w:val="DefaultPlaceholder_-1854013440"/>
          </w:placeholder>
        </w:sdtPr>
        <w:sdtContent>
          <w:r w:rsidR="00B86026">
            <w:rPr>
              <w:rFonts w:ascii="Arial" w:eastAsia="Calibri" w:hAnsi="Arial" w:cs="Times New Roman"/>
            </w:rPr>
            <w:t xml:space="preserve">tomuto dopravci. Tyto jsou </w:t>
          </w:r>
          <w:r w:rsidRPr="00B86026">
            <w:rPr>
              <w:rFonts w:ascii="Arial" w:eastAsia="Calibri" w:hAnsi="Arial" w:cs="Times New Roman"/>
            </w:rPr>
            <w:t xml:space="preserve">vyjmuty ze zúčtování a nejsou </w:t>
          </w:r>
          <w:r w:rsidRPr="00B86026">
            <w:rPr>
              <w:rFonts w:ascii="Arial" w:eastAsia="Calibri" w:hAnsi="Arial" w:cs="Times New Roman"/>
            </w:rPr>
            <w:tab/>
          </w:r>
          <w:r w:rsidR="00B86026">
            <w:rPr>
              <w:rFonts w:ascii="Arial" w:eastAsia="Calibri" w:hAnsi="Arial" w:cs="Times New Roman"/>
            </w:rPr>
            <w:t xml:space="preserve">rozúčtovány na </w:t>
          </w:r>
          <w:r w:rsidRPr="00B86026">
            <w:rPr>
              <w:rFonts w:ascii="Arial" w:eastAsia="Calibri" w:hAnsi="Arial" w:cs="Times New Roman"/>
            </w:rPr>
            <w:t xml:space="preserve">všechny </w:t>
          </w:r>
          <w:r w:rsidRPr="00B86026">
            <w:rPr>
              <w:rFonts w:ascii="Arial" w:eastAsia="Calibri" w:hAnsi="Arial" w:cs="Times New Roman"/>
            </w:rPr>
            <w:tab/>
            <w:t>subjekty.</w:t>
          </w:r>
        </w:sdtContent>
      </w:sdt>
    </w:p>
    <w:p w14:paraId="437F3464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Calibri" w:hAnsi="Arial" w:cs="Times New Roman"/>
        </w:rPr>
      </w:pPr>
    </w:p>
    <w:p w14:paraId="0209C6AF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Calibri" w:hAnsi="Arial" w:cs="Times New Roman"/>
        </w:rPr>
      </w:pPr>
    </w:p>
    <w:p w14:paraId="4C17DFB2" w14:textId="77777777" w:rsidR="00C607AD" w:rsidRPr="00DF13C6" w:rsidRDefault="00C607AD" w:rsidP="00C607AD">
      <w:pPr>
        <w:pStyle w:val="Odstavecseseznamem"/>
        <w:numPr>
          <w:ilvl w:val="0"/>
          <w:numId w:val="18"/>
        </w:numPr>
        <w:rPr>
          <w:rFonts w:ascii="Arial" w:eastAsia="Calibri" w:hAnsi="Arial" w:cs="Times New Roman"/>
          <w:b/>
          <w:sz w:val="28"/>
          <w:szCs w:val="28"/>
        </w:rPr>
      </w:pPr>
      <w:r w:rsidRPr="00DF13C6">
        <w:rPr>
          <w:rFonts w:ascii="Arial" w:eastAsia="Calibri" w:hAnsi="Arial" w:cs="Times New Roman"/>
          <w:b/>
          <w:sz w:val="28"/>
          <w:szCs w:val="28"/>
        </w:rPr>
        <w:t>Reporty</w:t>
      </w:r>
    </w:p>
    <w:p w14:paraId="4AED8B61" w14:textId="2BA0C182" w:rsidR="00C607AD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Zúčtovací centrum připravuje pro objednatele i dopravce</w:t>
      </w:r>
      <w:r w:rsidR="00742C4A">
        <w:rPr>
          <w:rFonts w:ascii="Arial" w:eastAsia="Calibri" w:hAnsi="Arial" w:cs="Times New Roman"/>
        </w:rPr>
        <w:t xml:space="preserve"> </w:t>
      </w:r>
      <w:r>
        <w:rPr>
          <w:rFonts w:ascii="Arial" w:eastAsia="Calibri" w:hAnsi="Arial" w:cs="Times New Roman"/>
        </w:rPr>
        <w:t>reporty</w:t>
      </w:r>
      <w:r w:rsidR="00EF6FA7">
        <w:rPr>
          <w:rFonts w:ascii="Arial" w:eastAsia="Calibri" w:hAnsi="Arial" w:cs="Times New Roman"/>
        </w:rPr>
        <w:t xml:space="preserve"> (formátu MS Excel)</w:t>
      </w:r>
      <w:r>
        <w:rPr>
          <w:rFonts w:ascii="Arial" w:eastAsia="Calibri" w:hAnsi="Arial" w:cs="Times New Roman"/>
        </w:rPr>
        <w:t xml:space="preserve"> a pravidelně je v dohodnutých termínech publikuje na svých stránkách, jedná se zejména:</w:t>
      </w:r>
    </w:p>
    <w:p w14:paraId="1608DF4F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Rozúčtování tržeb z tarifu VDV a kompenzací slev Ministerstva dopravy na linko – </w:t>
      </w:r>
      <w:proofErr w:type="spellStart"/>
      <w:r>
        <w:rPr>
          <w:rFonts w:ascii="Arial" w:eastAsia="Calibri" w:hAnsi="Arial" w:cs="Times New Roman"/>
        </w:rPr>
        <w:t>vlako</w:t>
      </w:r>
      <w:proofErr w:type="spellEnd"/>
      <w:r>
        <w:rPr>
          <w:rFonts w:ascii="Arial" w:eastAsia="Calibri" w:hAnsi="Arial" w:cs="Times New Roman"/>
        </w:rPr>
        <w:t xml:space="preserve"> spoje ve tvaru:</w:t>
      </w:r>
    </w:p>
    <w:p w14:paraId="6D6B8FB8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Subjekt/linka/spoj/kraj</w:t>
      </w:r>
      <w:r w:rsidRPr="008912A7">
        <w:rPr>
          <w:rFonts w:ascii="Arial" w:eastAsia="Calibri" w:hAnsi="Arial" w:cs="Times New Roman"/>
          <w:sz w:val="16"/>
          <w:szCs w:val="16"/>
        </w:rPr>
        <w:t>(oblast,</w:t>
      </w:r>
      <w:r>
        <w:rPr>
          <w:rFonts w:ascii="Arial" w:eastAsia="Calibri" w:hAnsi="Arial" w:cs="Times New Roman"/>
          <w:sz w:val="16"/>
          <w:szCs w:val="16"/>
        </w:rPr>
        <w:t xml:space="preserve"> provider </w:t>
      </w:r>
      <w:r w:rsidRPr="008912A7">
        <w:rPr>
          <w:rFonts w:ascii="Arial" w:eastAsia="Calibri" w:hAnsi="Arial" w:cs="Times New Roman"/>
          <w:sz w:val="16"/>
          <w:szCs w:val="16"/>
        </w:rPr>
        <w:t>ID, území kraje, tarif</w:t>
      </w:r>
      <w:r>
        <w:rPr>
          <w:rFonts w:ascii="Arial" w:eastAsia="Calibri" w:hAnsi="Arial" w:cs="Times New Roman"/>
        </w:rPr>
        <w:t>)/tržba/kompenzace</w:t>
      </w:r>
    </w:p>
    <w:p w14:paraId="5275849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016DAE7E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Sestava pro: objednatele i dopravce</w:t>
      </w:r>
    </w:p>
    <w:p w14:paraId="67CBCC5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106C45FD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Vyčíslení kompenzací z tarifu VDV pro dopravce (na základě této sestavy dopravce žádá vyplacení kompenzací Ministerstvo dopravy). Sestava ve tvaru slučitelném se systémem pro vyhodnocení kompenzací u Ministerstva dopravy.</w:t>
      </w:r>
    </w:p>
    <w:p w14:paraId="24C5A1F3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4CE2B31B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Sestava pro: objednatele i dopravce</w:t>
      </w:r>
    </w:p>
    <w:p w14:paraId="2FFDE5C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3A63F9E0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prodaných jízdenek z tarifu VDV ve tvaru</w:t>
      </w:r>
    </w:p>
    <w:p w14:paraId="2875DB4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4C69B830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3A4FD5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0ECBE647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</w:t>
      </w:r>
      <w:r>
        <w:rPr>
          <w:rFonts w:ascii="Arial" w:eastAsia="Calibri" w:hAnsi="Arial" w:cs="Times New Roman"/>
        </w:rPr>
        <w:t xml:space="preserve">stava pro: objednatele </w:t>
      </w:r>
    </w:p>
    <w:p w14:paraId="3F4DE74B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2AAEF640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o vydaných přestupních jízdenkách ve tvaru</w:t>
      </w:r>
    </w:p>
    <w:p w14:paraId="1529AC1A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3046E3"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7ABC136B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3A4FD5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1C41F5F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</w:t>
      </w:r>
      <w:r>
        <w:rPr>
          <w:rFonts w:ascii="Arial" w:eastAsia="Calibri" w:hAnsi="Arial" w:cs="Times New Roman"/>
        </w:rPr>
        <w:t xml:space="preserve">stava pro: objednatele </w:t>
      </w:r>
    </w:p>
    <w:p w14:paraId="2986F082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38C57FE5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lastRenderedPageBreak/>
        <w:t>Přehled vydaných jízdenek s vyčíslením výši tržeb prodaných výlučně pro přepravu  v zóně s MHD ve tvaru</w:t>
      </w:r>
    </w:p>
    <w:p w14:paraId="0BC857C6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tarif/počet jízdenek/tržba</w:t>
      </w:r>
    </w:p>
    <w:p w14:paraId="1FDC09C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42FD8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576F7EF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Sestava pro: objednatele i dopravce</w:t>
      </w:r>
    </w:p>
    <w:p w14:paraId="6B65BC1D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Calibri" w:hAnsi="Arial" w:cs="Times New Roman"/>
        </w:rPr>
      </w:pPr>
    </w:p>
    <w:p w14:paraId="38EE9933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vydaných jízdenek s vyčíslením objemu tržeb prodaných validátorem (stacionární zařízení pro prodej předem definovaných jízdních dokladů) ve tvaru</w:t>
      </w:r>
    </w:p>
    <w:p w14:paraId="34780C53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tarif/počet jízdenek/tržba</w:t>
      </w:r>
    </w:p>
    <w:p w14:paraId="7C7D9AF9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79AF45F4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Ses</w:t>
      </w:r>
      <w:r>
        <w:rPr>
          <w:rFonts w:ascii="Arial" w:eastAsia="Calibri" w:hAnsi="Arial" w:cs="Times New Roman"/>
        </w:rPr>
        <w:t>tava pro: objednatele</w:t>
      </w:r>
    </w:p>
    <w:p w14:paraId="541B9973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41DABBB3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7F5FA395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chybně zaslaných dat do zúčtovacího centra z hlediska správnosti čísla tarifu VDV</w:t>
      </w:r>
    </w:p>
    <w:p w14:paraId="1313780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denně upozornit objednatele i dopravce</w:t>
      </w:r>
    </w:p>
    <w:p w14:paraId="6CEF6EFD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14446C">
        <w:rPr>
          <w:rFonts w:ascii="Arial" w:eastAsia="Calibri" w:hAnsi="Arial" w:cs="Times New Roman"/>
        </w:rPr>
        <w:t>Sestava pro: objednatele i dopravce</w:t>
      </w:r>
    </w:p>
    <w:p w14:paraId="3881DBB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68D5F1D6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</w:t>
      </w:r>
      <w:r w:rsidRPr="00460F28">
        <w:rPr>
          <w:rFonts w:ascii="Arial" w:eastAsia="Calibri" w:hAnsi="Arial" w:cs="Times New Roman"/>
        </w:rPr>
        <w:t xml:space="preserve"> jízdenek, které mají příznak integrovaného dokladu, ale nesplňují všechny náležitosti a proto nemohly být zahrnuty do zúčtování tržeb</w:t>
      </w:r>
      <w:r>
        <w:rPr>
          <w:rFonts w:ascii="Arial" w:eastAsia="Calibri" w:hAnsi="Arial" w:cs="Times New Roman"/>
        </w:rPr>
        <w:t xml:space="preserve">. </w:t>
      </w:r>
      <w:r w:rsidRPr="00460F28">
        <w:rPr>
          <w:rFonts w:ascii="Arial" w:eastAsia="Calibri" w:hAnsi="Arial" w:cs="Times New Roman"/>
        </w:rPr>
        <w:t>Připravit export jízdenek ve tvaru</w:t>
      </w:r>
    </w:p>
    <w:p w14:paraId="72AB8517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 w:rsidRPr="00B65C2C"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391DC834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Termín: </w:t>
      </w:r>
      <w:r w:rsidRPr="00460F28">
        <w:rPr>
          <w:rFonts w:ascii="Arial" w:eastAsia="Calibri" w:hAnsi="Arial" w:cs="Times New Roman"/>
        </w:rPr>
        <w:t>nejpozději 15.tého v měsíci do 12:00 (v případě, že tento datum je so, ne nebo svátek, tak nejbližší předcházející pracovní den)</w:t>
      </w:r>
    </w:p>
    <w:p w14:paraId="46964EAD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14446C">
        <w:rPr>
          <w:rFonts w:ascii="Arial" w:eastAsia="Calibri" w:hAnsi="Arial" w:cs="Times New Roman"/>
        </w:rPr>
        <w:t>Sestava pro: objednatele i dopravce</w:t>
      </w:r>
    </w:p>
    <w:p w14:paraId="0F55303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52289BDB" w14:textId="77777777" w:rsidR="00C607AD" w:rsidRPr="00C2472E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4A550E">
        <w:rPr>
          <w:rFonts w:ascii="Arial" w:eastAsia="Calibri" w:hAnsi="Arial" w:cs="Times New Roman"/>
        </w:rPr>
        <w:t>Přehled plateb bankovní kartou a kon</w:t>
      </w:r>
      <w:r>
        <w:rPr>
          <w:rFonts w:ascii="Arial" w:eastAsia="Calibri" w:hAnsi="Arial" w:cs="Times New Roman"/>
        </w:rPr>
        <w:t xml:space="preserve">trola správnosti zasílaných dat </w:t>
      </w:r>
      <w:r w:rsidRPr="000F7623">
        <w:rPr>
          <w:rFonts w:ascii="Arial" w:eastAsia="Calibri" w:hAnsi="Arial" w:cs="Times New Roman"/>
        </w:rPr>
        <w:t>ve</w:t>
      </w:r>
      <w:r>
        <w:rPr>
          <w:rFonts w:ascii="Arial" w:eastAsia="Calibri" w:hAnsi="Arial" w:cs="Times New Roman"/>
        </w:rPr>
        <w:t xml:space="preserve"> </w:t>
      </w:r>
      <w:r w:rsidRPr="000F7623">
        <w:rPr>
          <w:rFonts w:ascii="Arial" w:eastAsia="Calibri" w:hAnsi="Arial" w:cs="Times New Roman"/>
        </w:rPr>
        <w:t>tvaru</w:t>
      </w:r>
      <w:r w:rsidRPr="00C2472E">
        <w:rPr>
          <w:rFonts w:ascii="Arial" w:eastAsia="Calibri" w:hAnsi="Arial" w:cs="Times New Roman"/>
        </w:rPr>
        <w:t xml:space="preserve"> </w:t>
      </w:r>
      <w:r w:rsidRPr="00C2472E">
        <w:rPr>
          <w:rFonts w:ascii="Arial" w:eastAsia="Calibri" w:hAnsi="Arial" w:cs="Times New Roman"/>
        </w:rPr>
        <w:br/>
        <w:t>dopravce/linka/spoj/počet jízdenek-transakcí/tržba za jízdenky</w:t>
      </w:r>
    </w:p>
    <w:p w14:paraId="7AEFF88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631E0FF5" w14:textId="728FABDF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14446C">
        <w:rPr>
          <w:rFonts w:ascii="Arial" w:eastAsia="Calibri" w:hAnsi="Arial" w:cs="Times New Roman"/>
        </w:rPr>
        <w:t>Ses</w:t>
      </w:r>
      <w:r>
        <w:rPr>
          <w:rFonts w:ascii="Arial" w:eastAsia="Calibri" w:hAnsi="Arial" w:cs="Times New Roman"/>
        </w:rPr>
        <w:t xml:space="preserve">tava pro: objednatele </w:t>
      </w:r>
    </w:p>
    <w:p w14:paraId="11893CC0" w14:textId="77777777" w:rsidR="00C57811" w:rsidRPr="00C57811" w:rsidRDefault="00C57811" w:rsidP="00C57811">
      <w:pPr>
        <w:numPr>
          <w:ilvl w:val="1"/>
          <w:numId w:val="19"/>
        </w:numPr>
        <w:tabs>
          <w:tab w:val="left" w:pos="1778"/>
        </w:tabs>
        <w:suppressAutoHyphens/>
        <w:spacing w:before="86" w:after="0" w:line="276" w:lineRule="auto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Přehled o vydaných jízdenkách ze zóny 200 Třebíč do zóny 200 Třebíč ve tvaru</w:t>
      </w:r>
    </w:p>
    <w:p w14:paraId="58EC4CF1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7C50A66B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3D0D5427" w14:textId="008EAEF6" w:rsid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Sestava pro: objednatele</w:t>
      </w:r>
    </w:p>
    <w:p w14:paraId="7CDABF1F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</w:p>
    <w:p w14:paraId="43622A9E" w14:textId="77777777" w:rsidR="00C57811" w:rsidRPr="00C57811" w:rsidRDefault="00C57811" w:rsidP="00C57811">
      <w:pPr>
        <w:numPr>
          <w:ilvl w:val="1"/>
          <w:numId w:val="19"/>
        </w:numPr>
        <w:tabs>
          <w:tab w:val="left" w:pos="1778"/>
        </w:tabs>
        <w:suppressAutoHyphens/>
        <w:spacing w:before="86" w:after="0" w:line="276" w:lineRule="auto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Přehled o vydaných jízdenkách ze zóny 1 až 7 Oblast MHD Jihlava  do zón 1 až 7 Oblast MHD Jihlava</w:t>
      </w:r>
    </w:p>
    <w:p w14:paraId="2809D00F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1B7F8F11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07A03AD3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Sestava pro: objednatele</w:t>
      </w:r>
    </w:p>
    <w:p w14:paraId="28FD543F" w14:textId="77777777" w:rsidR="00C57811" w:rsidRPr="00C57811" w:rsidRDefault="00C57811" w:rsidP="00C57811">
      <w:pPr>
        <w:numPr>
          <w:ilvl w:val="1"/>
          <w:numId w:val="19"/>
        </w:numPr>
        <w:tabs>
          <w:tab w:val="left" w:pos="1778"/>
        </w:tabs>
        <w:suppressAutoHyphens/>
        <w:spacing w:before="86" w:after="0" w:line="276" w:lineRule="auto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lastRenderedPageBreak/>
        <w:t xml:space="preserve">Přehled o vydaných jízdenkách ze </w:t>
      </w:r>
      <w:proofErr w:type="spellStart"/>
      <w:r w:rsidRPr="00C57811">
        <w:rPr>
          <w:rFonts w:ascii="Arial" w:eastAsia="Calibri" w:hAnsi="Arial" w:cs="Times New Roman"/>
        </w:rPr>
        <w:t>zóny„X</w:t>
      </w:r>
      <w:proofErr w:type="spellEnd"/>
      <w:r w:rsidRPr="00C57811">
        <w:rPr>
          <w:rFonts w:ascii="Arial" w:eastAsia="Calibri" w:hAnsi="Arial" w:cs="Times New Roman"/>
        </w:rPr>
        <w:t>“ do stejné zóny „X“ ve tvaru</w:t>
      </w:r>
    </w:p>
    <w:p w14:paraId="1995B314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432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ab/>
        <w:t xml:space="preserve">Provider ID dopravce/Subjekt/Linka/spoj/datum prodeje/nástupní zastávka/výstupní </w:t>
      </w:r>
      <w:r w:rsidRPr="00C57811">
        <w:rPr>
          <w:rFonts w:ascii="Arial" w:eastAsia="Calibri" w:hAnsi="Arial" w:cs="Times New Roman"/>
        </w:rPr>
        <w:tab/>
        <w:t>zastávka/tarif/typ jízdenky/Prodej – zóna z/Prodej – zóna do/počet/tržba</w:t>
      </w:r>
    </w:p>
    <w:p w14:paraId="1F03D6F7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 xml:space="preserve">„ X“ znamená obdobná zóna, kterou může objednatel v budoucnu definovat např. v dalším městě. </w:t>
      </w:r>
      <w:r w:rsidRPr="00C57811">
        <w:rPr>
          <w:rFonts w:ascii="Arial" w:eastAsia="Calibri" w:hAnsi="Arial" w:cs="Times New Roman"/>
        </w:rPr>
        <w:br/>
      </w:r>
    </w:p>
    <w:p w14:paraId="245C6376" w14:textId="77777777" w:rsidR="00C57811" w:rsidRDefault="00C57811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13571DC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101DDA66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>Činnosti zúčtovacího centra VDV</w:t>
      </w:r>
    </w:p>
    <w:p w14:paraId="645027A3" w14:textId="77777777" w:rsidR="00C607AD" w:rsidRPr="0093636C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Zúčtovací centrum bude automatizovaně zpracovávat data z prodeje/odbavení jízdenek z odbavovacích systémů ve vozidlech veřejné dopravy a následně vytvoří jejich požadované reporty:</w:t>
      </w:r>
    </w:p>
    <w:p w14:paraId="720D74F9" w14:textId="77777777" w:rsidR="00C607AD" w:rsidRPr="00DF0E01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proofErr w:type="spellStart"/>
      <w:r>
        <w:rPr>
          <w:rFonts w:ascii="Arial" w:eastAsia="Times New Roman" w:hAnsi="Arial" w:cs="Times New Roman"/>
          <w:lang w:eastAsia="ar-SA"/>
        </w:rPr>
        <w:t>Rozúčtovávat</w:t>
      </w:r>
      <w:proofErr w:type="spellEnd"/>
      <w:r>
        <w:rPr>
          <w:rFonts w:ascii="Arial" w:eastAsia="Times New Roman" w:hAnsi="Arial" w:cs="Times New Roman"/>
          <w:lang w:eastAsia="ar-SA"/>
        </w:rPr>
        <w:t xml:space="preserve"> tržby</w:t>
      </w:r>
      <w:r w:rsidRPr="00DF0E01">
        <w:rPr>
          <w:rFonts w:ascii="Arial" w:eastAsia="Times New Roman" w:hAnsi="Arial" w:cs="Times New Roman"/>
          <w:lang w:eastAsia="ar-SA"/>
        </w:rPr>
        <w:t xml:space="preserve"> tarifu VDV dopravců (do počtu 21) vyplývajících z</w:t>
      </w:r>
      <w:r>
        <w:rPr>
          <w:rFonts w:ascii="Arial" w:eastAsia="Times New Roman" w:hAnsi="Arial" w:cs="Times New Roman"/>
          <w:lang w:eastAsia="ar-SA"/>
        </w:rPr>
        <w:t> </w:t>
      </w:r>
      <w:r w:rsidRPr="00DF0E01">
        <w:rPr>
          <w:rFonts w:ascii="Arial" w:eastAsia="Times New Roman" w:hAnsi="Arial" w:cs="Times New Roman"/>
          <w:lang w:eastAsia="ar-SA"/>
        </w:rPr>
        <w:t>uznávání</w:t>
      </w:r>
      <w:r>
        <w:rPr>
          <w:rFonts w:ascii="Arial" w:eastAsia="Times New Roman" w:hAnsi="Arial" w:cs="Times New Roman"/>
          <w:lang w:eastAsia="ar-SA"/>
        </w:rPr>
        <w:t xml:space="preserve"> </w:t>
      </w:r>
      <w:r w:rsidRPr="00DF0E01">
        <w:rPr>
          <w:rFonts w:ascii="Arial" w:eastAsia="Times New Roman" w:hAnsi="Arial" w:cs="Times New Roman"/>
          <w:lang w:eastAsia="ar-SA"/>
        </w:rPr>
        <w:t>jízdních dokladů dle podkladů předaných odborem dopravy a silničního hospodářství a vyčíslení kompenzací „státních“ slev (přehled pro Kraj Vysočina a Ministerstvo dopravy)</w:t>
      </w:r>
    </w:p>
    <w:p w14:paraId="094D6FB8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Zpracovávat elektronická data o prodeji jízdních dokladů odcházejících od dopravců off-line. </w:t>
      </w:r>
    </w:p>
    <w:p w14:paraId="7AC391AC" w14:textId="2A5684DC" w:rsidR="00C607AD" w:rsidRPr="007A4CBC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Specifikovat se všemi dopravci, potažmo dodavateli odbavovacích zařízení formát a způsob přenosu dat (např. </w:t>
      </w:r>
      <w:r w:rsidR="002517CB">
        <w:rPr>
          <w:rFonts w:ascii="Arial" w:eastAsia="Times New Roman" w:hAnsi="Arial" w:cs="Times New Roman"/>
          <w:lang w:eastAsia="ar-SA"/>
        </w:rPr>
        <w:t>JSON</w:t>
      </w:r>
      <w:r>
        <w:rPr>
          <w:rFonts w:ascii="Arial" w:eastAsia="Times New Roman" w:hAnsi="Arial" w:cs="Times New Roman"/>
          <w:lang w:eastAsia="ar-SA"/>
        </w:rPr>
        <w:t xml:space="preserve"> zprávy)</w:t>
      </w:r>
    </w:p>
    <w:p w14:paraId="3BB87DA7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proofErr w:type="spellStart"/>
      <w:r w:rsidRPr="001236C8">
        <w:rPr>
          <w:rFonts w:ascii="Arial" w:eastAsia="Times New Roman" w:hAnsi="Arial" w:cs="Arial"/>
          <w:lang w:eastAsia="ar-SA"/>
        </w:rPr>
        <w:t>Rozúčtovávat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tržby z prodeje jednotlivých jízdních dokladů VDV na jednotlivé dopravce s následným členěním na linko-</w:t>
      </w:r>
      <w:proofErr w:type="spellStart"/>
      <w:r w:rsidRPr="001236C8">
        <w:rPr>
          <w:rFonts w:ascii="Arial" w:eastAsia="Times New Roman" w:hAnsi="Arial" w:cs="Arial"/>
          <w:lang w:eastAsia="ar-SA"/>
        </w:rPr>
        <w:t>vlako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spoje dle jim přiřazené váhy vycházející z tabulky č. 2.</w:t>
      </w:r>
      <w:r>
        <w:rPr>
          <w:rFonts w:ascii="Arial" w:eastAsia="Times New Roman" w:hAnsi="Arial" w:cs="Arial"/>
          <w:lang w:eastAsia="ar-SA"/>
        </w:rPr>
        <w:t xml:space="preserve"> Dopravci dle odst. 2.1 a 2.3</w:t>
      </w:r>
    </w:p>
    <w:p w14:paraId="2FB94769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proofErr w:type="spellStart"/>
      <w:r w:rsidRPr="001236C8">
        <w:rPr>
          <w:rFonts w:ascii="Arial" w:eastAsia="Times New Roman" w:hAnsi="Arial" w:cs="Arial"/>
          <w:lang w:eastAsia="ar-SA"/>
        </w:rPr>
        <w:t>Rozúčtovávat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tržby z prodeje jednotlivých jízdních dokladů VDV sezónního dopravce dle zasl</w:t>
      </w:r>
      <w:r>
        <w:rPr>
          <w:rFonts w:ascii="Arial" w:eastAsia="Times New Roman" w:hAnsi="Arial" w:cs="Arial"/>
          <w:lang w:eastAsia="ar-SA"/>
        </w:rPr>
        <w:t>ané skutečnosti, dle bodu (4.13</w:t>
      </w:r>
      <w:r w:rsidRPr="001236C8">
        <w:rPr>
          <w:rFonts w:ascii="Arial" w:eastAsia="Times New Roman" w:hAnsi="Arial" w:cs="Arial"/>
          <w:lang w:eastAsia="ar-SA"/>
        </w:rPr>
        <w:t>) v členění na linko-</w:t>
      </w:r>
      <w:proofErr w:type="spellStart"/>
      <w:r w:rsidRPr="001236C8">
        <w:rPr>
          <w:rFonts w:ascii="Arial" w:eastAsia="Times New Roman" w:hAnsi="Arial" w:cs="Arial"/>
          <w:lang w:eastAsia="ar-SA"/>
        </w:rPr>
        <w:t>vlako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spoje.</w:t>
      </w:r>
      <w:r>
        <w:rPr>
          <w:rFonts w:ascii="Arial" w:eastAsia="Times New Roman" w:hAnsi="Arial" w:cs="Arial"/>
          <w:lang w:eastAsia="ar-SA"/>
        </w:rPr>
        <w:t xml:space="preserve"> Dopravci dle bodu 2.2</w:t>
      </w:r>
    </w:p>
    <w:p w14:paraId="71F55584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Určit tržby dopravci dle bodu 2.4</w:t>
      </w:r>
    </w:p>
    <w:p w14:paraId="6BDEA901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Evidovat a zpracovávat hotovostní transakce z odbavovacích zařízení.</w:t>
      </w:r>
    </w:p>
    <w:p w14:paraId="58067589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Publikovat na svém serveru aktuální verzi dokumentu Principy zúčtování VDV.</w:t>
      </w:r>
    </w:p>
    <w:p w14:paraId="0AD7F173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 xml:space="preserve">Zpřístupňovat podklady pro finanční vyrovnání na základě daňových dokladů ve formátu </w:t>
      </w:r>
      <w:proofErr w:type="spellStart"/>
      <w:r w:rsidRPr="001236C8">
        <w:rPr>
          <w:rFonts w:ascii="Arial" w:eastAsia="Times New Roman" w:hAnsi="Arial" w:cs="Arial"/>
          <w:lang w:eastAsia="ar-SA"/>
        </w:rPr>
        <w:t>pdf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jednotlivým dopravcům a Odboru dopravy a silničního hospodářství Krajského úřadu Kraje Vysočina v dohodnutých termínech.</w:t>
      </w:r>
    </w:p>
    <w:p w14:paraId="195672BD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Zajišťovat podklady pro finanční vyrovnání na základě daňových dokladů t</w:t>
      </w:r>
      <w:r>
        <w:rPr>
          <w:rFonts w:ascii="Arial" w:eastAsia="Times New Roman" w:hAnsi="Arial" w:cs="Arial"/>
          <w:lang w:eastAsia="ar-SA"/>
        </w:rPr>
        <w:t>ak, aby každý účastník zúčtování</w:t>
      </w:r>
      <w:r w:rsidRPr="001236C8">
        <w:rPr>
          <w:rFonts w:ascii="Arial" w:eastAsia="Times New Roman" w:hAnsi="Arial" w:cs="Arial"/>
          <w:lang w:eastAsia="ar-SA"/>
        </w:rPr>
        <w:t xml:space="preserve"> mohl vyrovnávat své pohledávky vů</w:t>
      </w:r>
      <w:r>
        <w:rPr>
          <w:rFonts w:ascii="Arial" w:eastAsia="Times New Roman" w:hAnsi="Arial" w:cs="Arial"/>
          <w:lang w:eastAsia="ar-SA"/>
        </w:rPr>
        <w:t>či ostatním účastníkům zúčtování</w:t>
      </w:r>
      <w:r w:rsidRPr="001236C8">
        <w:rPr>
          <w:rFonts w:ascii="Arial" w:eastAsia="Times New Roman" w:hAnsi="Arial" w:cs="Arial"/>
          <w:lang w:eastAsia="ar-SA"/>
        </w:rPr>
        <w:t xml:space="preserve"> po každé závěrce. </w:t>
      </w:r>
    </w:p>
    <w:p w14:paraId="247C8BB6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Poskytovat statistické</w:t>
      </w:r>
      <w:r w:rsidRPr="001236C8">
        <w:rPr>
          <w:rFonts w:ascii="Arial" w:eastAsia="Times New Roman" w:hAnsi="Arial" w:cs="Arial"/>
          <w:lang w:val="sk-SK" w:eastAsia="ar-SA"/>
        </w:rPr>
        <w:t xml:space="preserve"> </w:t>
      </w:r>
      <w:r w:rsidRPr="001236C8">
        <w:rPr>
          <w:rFonts w:ascii="Arial" w:eastAsia="Times New Roman" w:hAnsi="Arial" w:cs="Arial"/>
          <w:lang w:eastAsia="ar-SA"/>
        </w:rPr>
        <w:t>přehledy na linky zahrnuté ve VDV, spoje, tarify</w:t>
      </w:r>
      <w:r>
        <w:rPr>
          <w:rFonts w:ascii="Arial" w:eastAsia="Times New Roman" w:hAnsi="Arial" w:cs="Arial"/>
          <w:lang w:eastAsia="ar-SA"/>
        </w:rPr>
        <w:t xml:space="preserve">, </w:t>
      </w:r>
      <w:r w:rsidRPr="001236C8">
        <w:rPr>
          <w:rFonts w:ascii="Arial" w:eastAsia="Times New Roman" w:hAnsi="Arial" w:cs="Arial"/>
          <w:lang w:eastAsia="ar-SA"/>
        </w:rPr>
        <w:t>relace zóny</w:t>
      </w:r>
      <w:r>
        <w:rPr>
          <w:rFonts w:ascii="Arial" w:eastAsia="Times New Roman" w:hAnsi="Arial" w:cs="Arial"/>
          <w:lang w:eastAsia="ar-SA"/>
        </w:rPr>
        <w:t>, tržby</w:t>
      </w:r>
      <w:r w:rsidRPr="001236C8">
        <w:rPr>
          <w:rFonts w:ascii="Arial" w:eastAsia="Times New Roman" w:hAnsi="Arial" w:cs="Arial"/>
          <w:lang w:eastAsia="ar-SA"/>
        </w:rPr>
        <w:t>.</w:t>
      </w:r>
    </w:p>
    <w:p w14:paraId="590890CB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 xml:space="preserve">Zúčtovací centrum bude poskytovat dopravcům a objednatelům výstupy pro dopravce a další účastníky zúčtování. </w:t>
      </w:r>
    </w:p>
    <w:p w14:paraId="38A7A71E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Zúčtovací centrum bude poskytovat dopravcům údaje nezbytné k řešení reklamací.</w:t>
      </w:r>
    </w:p>
    <w:p w14:paraId="12C30EE8" w14:textId="3F278016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bookmarkStart w:id="6" w:name="_Ref399160503"/>
      <w:r w:rsidRPr="001236C8">
        <w:rPr>
          <w:rFonts w:ascii="Arial" w:eastAsia="Times New Roman" w:hAnsi="Arial" w:cs="Arial"/>
          <w:lang w:eastAsia="ar-SA"/>
        </w:rPr>
        <w:t>Dopravci jsou povinni zasílat transakce do zúčt</w:t>
      </w:r>
      <w:r w:rsidR="00D47C09">
        <w:rPr>
          <w:rFonts w:ascii="Arial" w:eastAsia="Times New Roman" w:hAnsi="Arial" w:cs="Arial"/>
          <w:lang w:eastAsia="ar-SA"/>
        </w:rPr>
        <w:t>ovacího centra nejpozději do 10-ti </w:t>
      </w:r>
      <w:r w:rsidRPr="001236C8">
        <w:rPr>
          <w:rFonts w:ascii="Arial" w:eastAsia="Times New Roman" w:hAnsi="Arial" w:cs="Arial"/>
          <w:lang w:eastAsia="ar-SA"/>
        </w:rPr>
        <w:t xml:space="preserve">kalendářních dnů od vzniku transakce. Transakce vzniklé předposlední a poslední den kalendářního měsíce je nutné odeslat rovněž nejpozději do 9. kalendářního dne následujícího měsíce. </w:t>
      </w:r>
      <w:bookmarkEnd w:id="6"/>
      <w:r w:rsidRPr="001236C8">
        <w:rPr>
          <w:rFonts w:ascii="Arial" w:eastAsia="Times New Roman" w:hAnsi="Arial" w:cs="Arial"/>
          <w:lang w:eastAsia="ar-SA"/>
        </w:rPr>
        <w:t>Pokud bude transakce o jízdence dodána po tomto termínu, bude zúčtována v rámci aktuálního účetního období, ve kterém bude dodána. Tržby z pozdě dodaných transakcí o prodeji jízdních dokladů se budou zúčtovávat pod</w:t>
      </w:r>
      <w:r>
        <w:rPr>
          <w:rFonts w:ascii="Arial" w:eastAsia="Times New Roman" w:hAnsi="Arial" w:cs="Arial"/>
          <w:lang w:eastAsia="ar-SA"/>
        </w:rPr>
        <w:t>le pravidel uvedených v bodech 7</w:t>
      </w:r>
      <w:r w:rsidRPr="001236C8">
        <w:rPr>
          <w:rFonts w:ascii="Arial" w:eastAsia="Times New Roman" w:hAnsi="Arial" w:cs="Arial"/>
          <w:lang w:eastAsia="ar-SA"/>
        </w:rPr>
        <w:t xml:space="preserve">. Zároveň bude informace o pozdním zúčtování jízdenky </w:t>
      </w:r>
      <w:r w:rsidRPr="001236C8">
        <w:rPr>
          <w:rFonts w:ascii="Arial" w:eastAsia="Times New Roman" w:hAnsi="Arial" w:cs="Arial"/>
          <w:lang w:eastAsia="ar-SA"/>
        </w:rPr>
        <w:lastRenderedPageBreak/>
        <w:t>zahrnuta do příslušného reportu, který bude předán dopravci v rámci měsíční uzávěrky spolu s podklady pro zúčtování.</w:t>
      </w:r>
    </w:p>
    <w:p w14:paraId="601F8810" w14:textId="4A1AFBF2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Dopravci jsou povinni zaslat do 14. kalendářního dne následujícího měsíce informace o realizovaných výkonech na jednotlivých spojích za uplynulý kalendářní měsíc ve struktuře dle tabulky č. 1. Toto ustanovení neplatí pro sezónního dopravce.</w:t>
      </w:r>
    </w:p>
    <w:p w14:paraId="20EE3754" w14:textId="77777777" w:rsidR="00C57811" w:rsidRPr="00362AAE" w:rsidRDefault="00C57811" w:rsidP="00C57811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362AAE">
        <w:rPr>
          <w:rFonts w:ascii="Arial" w:eastAsia="Times New Roman" w:hAnsi="Arial" w:cs="Arial"/>
          <w:lang w:eastAsia="ar-SA"/>
        </w:rPr>
        <w:t>K jízdním dokladům vydaných ze zóny  200 Třebíč, ze zón 1 až 7 Jihlava, případně z  dalších zón „X“ definovaných objednatelem (pro přepravu jen v rámci těchto definovaných zón) nebude vyčíslena kompenzace „státních“ slev. Tržby z takto vydaných jízdních dokladů jsou zahrnuty do celkových tržeb a jsou rozúčtovány na všechny dopravce v systému.</w:t>
      </w:r>
    </w:p>
    <w:p w14:paraId="6DCD4FB4" w14:textId="77777777" w:rsidR="00C57811" w:rsidRPr="00362AAE" w:rsidRDefault="00C57811" w:rsidP="00C57811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  <w:r w:rsidRPr="00362AAE">
        <w:rPr>
          <w:rFonts w:ascii="Arial" w:hAnsi="Arial"/>
        </w:rPr>
        <w:t>„ X“ znamená obdobná zóna, kterou může objednatel v budoucnu definovat např. v dalším městě.</w:t>
      </w:r>
    </w:p>
    <w:p w14:paraId="08404EDB" w14:textId="77777777" w:rsidR="00C57811" w:rsidRPr="001236C8" w:rsidRDefault="00C57811" w:rsidP="00C57811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</w:p>
    <w:p w14:paraId="34B3A6FA" w14:textId="77777777" w:rsidR="00C607AD" w:rsidRDefault="00C607AD" w:rsidP="00C607AD">
      <w:pPr>
        <w:tabs>
          <w:tab w:val="left" w:pos="709"/>
          <w:tab w:val="left" w:pos="1778"/>
        </w:tabs>
        <w:suppressAutoHyphens/>
        <w:spacing w:before="86" w:after="0" w:line="25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</w:p>
    <w:p w14:paraId="6B19A480" w14:textId="77777777" w:rsidR="00C607AD" w:rsidRPr="00580A36" w:rsidRDefault="00C607AD" w:rsidP="00C607AD">
      <w:pPr>
        <w:tabs>
          <w:tab w:val="left" w:pos="709"/>
          <w:tab w:val="left" w:pos="1778"/>
        </w:tabs>
        <w:suppressAutoHyphens/>
        <w:spacing w:before="86" w:after="0" w:line="25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</w:p>
    <w:p w14:paraId="51C8C0FA" w14:textId="77777777" w:rsidR="00C607AD" w:rsidRPr="00B51921" w:rsidRDefault="00C607AD" w:rsidP="00C607AD">
      <w:pPr>
        <w:numPr>
          <w:ilvl w:val="0"/>
          <w:numId w:val="10"/>
        </w:numPr>
        <w:suppressAutoHyphens/>
        <w:spacing w:after="220" w:line="25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4534D4">
        <w:rPr>
          <w:noProof/>
          <w:lang w:eastAsia="cs-CZ"/>
        </w:rPr>
        <w:drawing>
          <wp:inline distT="0" distB="0" distL="0" distR="0" wp14:anchorId="72985C7A" wp14:editId="5A20BB91">
            <wp:extent cx="3975997" cy="3495675"/>
            <wp:effectExtent l="0" t="0" r="571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099" cy="3508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0280A" w14:textId="77777777" w:rsidR="00C607AD" w:rsidRDefault="00C607AD" w:rsidP="00C607AD">
      <w:pPr>
        <w:tabs>
          <w:tab w:val="left" w:pos="1296"/>
        </w:tabs>
        <w:suppressAutoHyphens/>
        <w:spacing w:before="245" w:after="0" w:line="256" w:lineRule="auto"/>
        <w:jc w:val="both"/>
        <w:outlineLvl w:val="0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 xml:space="preserve">Tabulka č. </w:t>
      </w:r>
      <w:r w:rsidRPr="00B51921">
        <w:rPr>
          <w:rFonts w:ascii="Arial" w:eastAsia="Times New Roman" w:hAnsi="Arial" w:cs="Arial"/>
          <w:sz w:val="18"/>
          <w:szCs w:val="18"/>
          <w:lang w:eastAsia="ar-SA"/>
        </w:rPr>
        <w:t xml:space="preserve">1: vzor tabulky pro poskytování informací o realizovaných výkonech daného dopravce za </w:t>
      </w:r>
      <w:r>
        <w:rPr>
          <w:rFonts w:ascii="Arial" w:eastAsia="Times New Roman" w:hAnsi="Arial" w:cs="Arial"/>
          <w:sz w:val="18"/>
          <w:szCs w:val="18"/>
          <w:lang w:eastAsia="ar-SA"/>
        </w:rPr>
        <w:t xml:space="preserve">uplynulý měsíc </w:t>
      </w:r>
    </w:p>
    <w:p w14:paraId="242CCCB8" w14:textId="77777777" w:rsidR="00C607AD" w:rsidRPr="00B51921" w:rsidRDefault="00C607AD" w:rsidP="00C607AD">
      <w:pPr>
        <w:tabs>
          <w:tab w:val="left" w:pos="1296"/>
        </w:tabs>
        <w:suppressAutoHyphens/>
        <w:spacing w:before="245" w:after="0" w:line="256" w:lineRule="auto"/>
        <w:jc w:val="both"/>
        <w:outlineLvl w:val="0"/>
        <w:rPr>
          <w:rFonts w:ascii="Arial" w:eastAsia="Times New Roman" w:hAnsi="Arial" w:cs="Arial"/>
          <w:sz w:val="28"/>
          <w:szCs w:val="28"/>
          <w:lang w:eastAsia="ar-SA"/>
        </w:rPr>
      </w:pPr>
    </w:p>
    <w:p w14:paraId="65B67473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 xml:space="preserve">Popis zdrojů informací, se kterými pracuje zúčtovací centrum </w:t>
      </w:r>
    </w:p>
    <w:p w14:paraId="239E562B" w14:textId="77777777" w:rsidR="00C607AD" w:rsidRPr="0093636C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 w:rsidRPr="0093636C">
        <w:rPr>
          <w:rFonts w:ascii="Arial" w:eastAsia="Calibri" w:hAnsi="Arial" w:cs="Times New Roman"/>
        </w:rPr>
        <w:t>Zdroje informací pro rozúčtování jízdních dokladů jsou:</w:t>
      </w:r>
    </w:p>
    <w:p w14:paraId="0C5C62CD" w14:textId="77777777" w:rsidR="00C607AD" w:rsidRPr="00FF0076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FF0076">
        <w:rPr>
          <w:rFonts w:ascii="Arial" w:eastAsia="Times New Roman" w:hAnsi="Arial" w:cs="Arial"/>
          <w:lang w:eastAsia="ar-SA"/>
        </w:rPr>
        <w:t>Data o prodeji/odbavení jízdenek z odbavovacích systémů ve vozidlech</w:t>
      </w:r>
      <w:r>
        <w:rPr>
          <w:rFonts w:ascii="Arial" w:eastAsia="Times New Roman" w:hAnsi="Arial" w:cs="Arial"/>
          <w:lang w:eastAsia="ar-SA"/>
        </w:rPr>
        <w:t xml:space="preserve"> a stacionárních validátorů</w:t>
      </w:r>
      <w:r w:rsidRPr="00FF0076">
        <w:rPr>
          <w:rFonts w:ascii="Arial" w:eastAsia="Times New Roman" w:hAnsi="Arial" w:cs="Arial"/>
          <w:lang w:eastAsia="ar-SA"/>
        </w:rPr>
        <w:t>.</w:t>
      </w:r>
    </w:p>
    <w:p w14:paraId="4F470845" w14:textId="77777777" w:rsidR="00C607AD" w:rsidRPr="00FF0076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FF0076">
        <w:rPr>
          <w:rFonts w:ascii="Arial" w:eastAsia="Times New Roman" w:hAnsi="Arial" w:cs="Arial"/>
          <w:lang w:eastAsia="ar-SA"/>
        </w:rPr>
        <w:t>Dokument „Struktura Tarifu VDV“.</w:t>
      </w:r>
    </w:p>
    <w:p w14:paraId="731528F0" w14:textId="77777777" w:rsidR="00C607AD" w:rsidRPr="00FF0076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FF0076">
        <w:rPr>
          <w:rFonts w:ascii="Arial" w:eastAsia="Times New Roman" w:hAnsi="Arial" w:cs="Arial"/>
          <w:lang w:eastAsia="ar-SA"/>
        </w:rPr>
        <w:t>Seznamy odbavovacích zařízení, která mohou vydávat a akceptovat jízdní</w:t>
      </w:r>
    </w:p>
    <w:p w14:paraId="0DD07248" w14:textId="77777777" w:rsidR="00C607AD" w:rsidRDefault="00C607AD" w:rsidP="00C607AD">
      <w:pPr>
        <w:tabs>
          <w:tab w:val="num" w:pos="576"/>
          <w:tab w:val="left" w:pos="709"/>
        </w:tabs>
        <w:suppressAutoHyphens/>
        <w:spacing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  <w:r w:rsidRPr="00580A36">
        <w:rPr>
          <w:rFonts w:ascii="Arial" w:eastAsia="Times New Roman" w:hAnsi="Arial" w:cs="Arial"/>
          <w:lang w:eastAsia="ar-SA"/>
        </w:rPr>
        <w:t>doklady VDV.</w:t>
      </w:r>
    </w:p>
    <w:p w14:paraId="10BCE7A3" w14:textId="77777777" w:rsidR="00C607AD" w:rsidRDefault="00C607AD" w:rsidP="00C607AD">
      <w:pPr>
        <w:tabs>
          <w:tab w:val="num" w:pos="576"/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</w:p>
    <w:p w14:paraId="3A0F0386" w14:textId="77777777" w:rsidR="00C607AD" w:rsidRPr="00034763" w:rsidRDefault="00C607AD" w:rsidP="00C607AD">
      <w:pPr>
        <w:pStyle w:val="Odstavecseseznamem"/>
        <w:keepNext/>
        <w:numPr>
          <w:ilvl w:val="0"/>
          <w:numId w:val="18"/>
        </w:numPr>
        <w:tabs>
          <w:tab w:val="num" w:pos="576"/>
        </w:tabs>
        <w:rPr>
          <w:rFonts w:ascii="Arial" w:eastAsia="Times New Roman" w:hAnsi="Arial" w:cs="Arial"/>
          <w:b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lastRenderedPageBreak/>
        <w:t>Odbavení cestujících, prodej jízdních dokladů IDS VDV</w:t>
      </w:r>
    </w:p>
    <w:p w14:paraId="6D070511" w14:textId="77777777" w:rsidR="00C607AD" w:rsidRPr="0093636C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 w:rsidRPr="0093636C">
        <w:rPr>
          <w:rFonts w:ascii="Arial" w:eastAsia="Calibri" w:hAnsi="Arial" w:cs="Times New Roman"/>
        </w:rPr>
        <w:t>Způsob odbavení cestujících s jízdním dokladem IDS VDV v jednotlivých druzích veřejné osobní dopravy.</w:t>
      </w:r>
    </w:p>
    <w:p w14:paraId="415A51C4" w14:textId="1AF120CC" w:rsidR="00C607AD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70B57">
        <w:rPr>
          <w:rFonts w:ascii="Arial" w:eastAsia="Times New Roman" w:hAnsi="Arial" w:cs="Times New Roman"/>
          <w:lang w:eastAsia="ar-SA"/>
        </w:rPr>
        <w:t>Železniční osobní doprava</w:t>
      </w:r>
    </w:p>
    <w:p w14:paraId="40FF97F5" w14:textId="0941C36A" w:rsidR="00C607AD" w:rsidRPr="001236C8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1236C8">
        <w:rPr>
          <w:rFonts w:ascii="Arial" w:eastAsia="Times New Roman" w:hAnsi="Arial" w:cs="Times New Roman"/>
          <w:lang w:eastAsia="ar-SA"/>
        </w:rPr>
        <w:t xml:space="preserve">Cestující se v prostředí </w:t>
      </w:r>
      <w:r w:rsidR="002517CB">
        <w:rPr>
          <w:rFonts w:ascii="Arial" w:eastAsia="Times New Roman" w:hAnsi="Arial" w:cs="Times New Roman"/>
          <w:lang w:eastAsia="ar-SA"/>
        </w:rPr>
        <w:t>na železnici</w:t>
      </w:r>
      <w:r w:rsidRPr="001236C8">
        <w:rPr>
          <w:rFonts w:ascii="Arial" w:eastAsia="Times New Roman" w:hAnsi="Arial" w:cs="Times New Roman"/>
          <w:lang w:eastAsia="ar-SA"/>
        </w:rPr>
        <w:t xml:space="preserve"> odbavuje prostřednictvím jízdního dokladu.</w:t>
      </w:r>
    </w:p>
    <w:p w14:paraId="28755DFC" w14:textId="62B2F70D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Prodej</w:t>
      </w:r>
      <w:r w:rsidRPr="00B51921">
        <w:rPr>
          <w:rFonts w:ascii="Arial" w:eastAsia="Times New Roman" w:hAnsi="Arial" w:cs="Times New Roman"/>
          <w:lang w:eastAsia="ar-SA"/>
        </w:rPr>
        <w:t xml:space="preserve"> jízdních dokladů VDV – v osobních pokladnách obsazených železničních stan</w:t>
      </w:r>
      <w:r w:rsidR="002517CB">
        <w:rPr>
          <w:rFonts w:ascii="Arial" w:eastAsia="Times New Roman" w:hAnsi="Arial" w:cs="Times New Roman"/>
          <w:lang w:eastAsia="ar-SA"/>
        </w:rPr>
        <w:t>ic pomocí odbavovacích zařízení.</w:t>
      </w:r>
    </w:p>
    <w:p w14:paraId="39A34711" w14:textId="3EB1894C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 xml:space="preserve">Prodej jízdních dokladů VDV ve vlacích prostřednictvím přenosné osobní pokladny. </w:t>
      </w:r>
    </w:p>
    <w:p w14:paraId="47EA2BB2" w14:textId="77777777" w:rsidR="00C607AD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Kontrola</w:t>
      </w:r>
      <w:r w:rsidRPr="00B51921">
        <w:rPr>
          <w:rFonts w:ascii="Arial" w:eastAsia="Times New Roman" w:hAnsi="Arial" w:cs="Times New Roman"/>
          <w:lang w:eastAsia="ar-SA"/>
        </w:rPr>
        <w:t xml:space="preserve"> jízdních dokladů VDV ve vlacích – provádí pověřený zaměstnanec dopravce.</w:t>
      </w:r>
    </w:p>
    <w:p w14:paraId="7D9B214E" w14:textId="14A3A86A" w:rsidR="00C607AD" w:rsidRDefault="002517CB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Přenosná osobní pokladna</w:t>
      </w:r>
      <w:r w:rsidR="00C607AD">
        <w:rPr>
          <w:rFonts w:ascii="Arial" w:eastAsia="Times New Roman" w:hAnsi="Arial" w:cs="Times New Roman"/>
          <w:lang w:eastAsia="ar-SA"/>
        </w:rPr>
        <w:t xml:space="preserve"> dopravce </w:t>
      </w:r>
      <w:r>
        <w:rPr>
          <w:rFonts w:ascii="Arial" w:eastAsia="Times New Roman" w:hAnsi="Arial" w:cs="Times New Roman"/>
          <w:lang w:eastAsia="ar-SA"/>
        </w:rPr>
        <w:t xml:space="preserve">je </w:t>
      </w:r>
      <w:r w:rsidR="00C607AD">
        <w:rPr>
          <w:rFonts w:ascii="Arial" w:eastAsia="Times New Roman" w:hAnsi="Arial" w:cs="Times New Roman"/>
          <w:lang w:eastAsia="ar-SA"/>
        </w:rPr>
        <w:t>vybaveno čtečkou QR kódů, cestující při přestupu načte QR kód jízdního dokladu na odbavovacím zařízení dopravce.</w:t>
      </w:r>
    </w:p>
    <w:p w14:paraId="43599EC7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602D126E" w14:textId="77777777" w:rsidR="00C607AD" w:rsidRPr="00570B57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70B57">
        <w:rPr>
          <w:rFonts w:ascii="Arial" w:eastAsia="Times New Roman" w:hAnsi="Arial" w:cs="Times New Roman"/>
          <w:lang w:eastAsia="ar-SA"/>
        </w:rPr>
        <w:t xml:space="preserve">Veřejná linková autobusová doprava </w:t>
      </w:r>
    </w:p>
    <w:p w14:paraId="3C28F382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Prodej a kontrol</w:t>
      </w:r>
      <w:r>
        <w:rPr>
          <w:rFonts w:ascii="Arial" w:eastAsia="Times New Roman" w:hAnsi="Arial" w:cs="Times New Roman"/>
          <w:lang w:eastAsia="ar-SA"/>
        </w:rPr>
        <w:t>u</w:t>
      </w:r>
      <w:r w:rsidRPr="00B51921">
        <w:rPr>
          <w:rFonts w:ascii="Arial" w:eastAsia="Times New Roman" w:hAnsi="Arial" w:cs="Times New Roman"/>
          <w:lang w:eastAsia="ar-SA"/>
        </w:rPr>
        <w:t xml:space="preserve"> jízdních dokladů VDV provádí řidič. V autobusech je povinný nástup předními dveřmi, cestující je tedy odbaven vždy.</w:t>
      </w:r>
    </w:p>
    <w:p w14:paraId="0A128B23" w14:textId="77777777" w:rsidR="00C607AD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Při přestupu cestujícího v rámci jednoho jízdního dokladu</w:t>
      </w:r>
      <w:r>
        <w:rPr>
          <w:rFonts w:ascii="Arial" w:eastAsia="Times New Roman" w:hAnsi="Arial" w:cs="Times New Roman"/>
          <w:lang w:eastAsia="ar-SA"/>
        </w:rPr>
        <w:t xml:space="preserve"> řidič provede záznam do odbavovacího zařízení ve vozidle, kterým bude zaznamenán nástup a záznam o zastávce nebo cestující načte QR kód jízdního dokladu na terminále odbavovacího zařízení dopravce. Záznam řidiče se provádí pouze v případě nečitelnosti QR kódu, nebo u dopravců, kteří nevydávají jízdní doklady VDV s QR kódem.</w:t>
      </w:r>
    </w:p>
    <w:p w14:paraId="04706714" w14:textId="77777777" w:rsidR="00C607AD" w:rsidRDefault="00C607AD" w:rsidP="00C607AD">
      <w:pPr>
        <w:keepNext/>
        <w:tabs>
          <w:tab w:val="left" w:pos="1134"/>
          <w:tab w:val="left" w:pos="1872"/>
        </w:tabs>
        <w:suppressAutoHyphens/>
        <w:spacing w:before="29" w:after="0" w:line="256" w:lineRule="auto"/>
        <w:ind w:left="1134"/>
        <w:jc w:val="both"/>
        <w:outlineLvl w:val="3"/>
        <w:rPr>
          <w:rFonts w:ascii="Arial" w:eastAsia="Times New Roman" w:hAnsi="Arial" w:cs="Times New Roman"/>
          <w:lang w:eastAsia="ar-SA"/>
        </w:rPr>
      </w:pPr>
    </w:p>
    <w:p w14:paraId="672F27EE" w14:textId="77777777" w:rsidR="00C607AD" w:rsidRPr="00570B57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70B57">
        <w:rPr>
          <w:rFonts w:ascii="Arial" w:eastAsia="Times New Roman" w:hAnsi="Arial" w:cs="Times New Roman"/>
          <w:lang w:eastAsia="ar-SA"/>
        </w:rPr>
        <w:t>Sezónní doprava</w:t>
      </w:r>
    </w:p>
    <w:p w14:paraId="171BC21C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Cestující se v prostředí </w:t>
      </w:r>
      <w:r w:rsidRPr="00B51921">
        <w:rPr>
          <w:rFonts w:ascii="Arial" w:eastAsia="Times New Roman" w:hAnsi="Arial" w:cs="Times New Roman"/>
          <w:lang w:eastAsia="ar-SA"/>
        </w:rPr>
        <w:t>odbavuje prostřednictvím jízdního dokladu.</w:t>
      </w:r>
    </w:p>
    <w:p w14:paraId="1EF26E30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Prodej jízdních dokladů VDV ve vlacích prostřednictvím přenosné osobní pokladny</w:t>
      </w:r>
      <w:r>
        <w:rPr>
          <w:rFonts w:ascii="Arial" w:eastAsia="Times New Roman" w:hAnsi="Arial" w:cs="Times New Roman"/>
          <w:lang w:eastAsia="ar-SA"/>
        </w:rPr>
        <w:t>.</w:t>
      </w:r>
      <w:r w:rsidRPr="00B51921">
        <w:rPr>
          <w:rFonts w:ascii="Arial" w:eastAsia="Times New Roman" w:hAnsi="Arial" w:cs="Times New Roman"/>
          <w:lang w:eastAsia="ar-SA"/>
        </w:rPr>
        <w:t xml:space="preserve"> </w:t>
      </w:r>
    </w:p>
    <w:p w14:paraId="5579DBE3" w14:textId="77777777" w:rsidR="00C607AD" w:rsidRPr="001236C8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Kontrola jízdních dokladů VDV ve vlacích – provádí pověřený zaměstnanec dopravce</w:t>
      </w:r>
      <w:r>
        <w:rPr>
          <w:rFonts w:ascii="Arial" w:eastAsia="Times New Roman" w:hAnsi="Arial" w:cs="Times New Roman"/>
          <w:lang w:eastAsia="ar-SA"/>
        </w:rPr>
        <w:t>. Jestliže je odbavovací zařízení dopravce vybaveno čtečkou QR kódů, pak cestující při přestupu načte QR kód jízdního dokladu na odbavovacím zařízení dopravce.</w:t>
      </w:r>
    </w:p>
    <w:p w14:paraId="3EF57300" w14:textId="77777777" w:rsidR="00C607AD" w:rsidRPr="001236C8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6949912D" w14:textId="77777777" w:rsidR="00C607AD" w:rsidRPr="00B51921" w:rsidRDefault="00C607AD" w:rsidP="00C607AD">
      <w:pPr>
        <w:tabs>
          <w:tab w:val="left" w:pos="1134"/>
          <w:tab w:val="left" w:pos="1872"/>
        </w:tabs>
        <w:suppressAutoHyphens/>
        <w:spacing w:before="29" w:after="0" w:line="256" w:lineRule="auto"/>
        <w:jc w:val="both"/>
        <w:outlineLvl w:val="3"/>
        <w:rPr>
          <w:rFonts w:ascii="Arial" w:eastAsia="Times New Roman" w:hAnsi="Arial" w:cs="Times New Roman"/>
          <w:lang w:eastAsia="ar-SA"/>
        </w:rPr>
      </w:pPr>
    </w:p>
    <w:p w14:paraId="465364CE" w14:textId="77777777" w:rsidR="00C607AD" w:rsidRPr="00B51921" w:rsidRDefault="00C607AD" w:rsidP="00C607AD">
      <w:pPr>
        <w:numPr>
          <w:ilvl w:val="2"/>
          <w:numId w:val="0"/>
        </w:numPr>
        <w:tabs>
          <w:tab w:val="num" w:pos="720"/>
          <w:tab w:val="left" w:pos="1296"/>
          <w:tab w:val="left" w:pos="1501"/>
        </w:tabs>
        <w:suppressAutoHyphens/>
        <w:spacing w:before="58" w:after="0" w:line="256" w:lineRule="auto"/>
        <w:ind w:left="5608" w:hanging="504"/>
        <w:jc w:val="both"/>
        <w:outlineLvl w:val="2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14:paraId="084F1D8A" w14:textId="77777777" w:rsidR="00C607AD" w:rsidRDefault="00C607AD" w:rsidP="00C607AD">
      <w:pPr>
        <w:pStyle w:val="Odstavecseseznamem"/>
        <w:keepNext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bookmarkStart w:id="7" w:name="_Ref226266946"/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lastRenderedPageBreak/>
        <w:t xml:space="preserve">Principy rozúčtování tržeb v integrovaném dopravním systému Veřejná doprava Vysočiny </w:t>
      </w:r>
      <w:bookmarkEnd w:id="7"/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 xml:space="preserve"> </w:t>
      </w:r>
    </w:p>
    <w:p w14:paraId="5E2CDD6B" w14:textId="77777777" w:rsidR="00C607AD" w:rsidRPr="00034763" w:rsidRDefault="00C607AD" w:rsidP="00C607AD">
      <w:pPr>
        <w:pStyle w:val="Odstavecseseznamem"/>
        <w:keepNext/>
        <w:ind w:left="432"/>
        <w:rPr>
          <w:rFonts w:ascii="Arial" w:hAnsi="Arial" w:cs="Arial"/>
          <w:b/>
          <w:bCs/>
          <w:sz w:val="28"/>
          <w:szCs w:val="28"/>
          <w:lang w:eastAsia="ar-SA"/>
        </w:rPr>
      </w:pPr>
    </w:p>
    <w:p w14:paraId="7A374B1A" w14:textId="77777777" w:rsidR="00C607AD" w:rsidRPr="002517CB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2517CB">
        <w:rPr>
          <w:rFonts w:ascii="Arial" w:eastAsia="Times New Roman" w:hAnsi="Arial" w:cs="Times New Roman"/>
          <w:lang w:eastAsia="ar-SA"/>
        </w:rPr>
        <w:t>Rozúčtování jízdních dokladů bez ohledu na druh jízdného</w:t>
      </w:r>
      <w:r w:rsidRPr="002517CB">
        <w:rPr>
          <w:rFonts w:ascii="Arial" w:eastAsia="Times New Roman" w:hAnsi="Arial" w:cs="Times New Roman"/>
          <w:vertAlign w:val="superscript"/>
          <w:lang w:eastAsia="ar-SA"/>
        </w:rPr>
        <w:footnoteReference w:id="1"/>
      </w:r>
      <w:r w:rsidRPr="002517CB">
        <w:rPr>
          <w:rFonts w:ascii="Arial" w:eastAsia="Times New Roman" w:hAnsi="Arial" w:cs="Times New Roman"/>
          <w:lang w:eastAsia="ar-SA"/>
        </w:rPr>
        <w:t>, časovou a zónovou/relační platnost</w:t>
      </w:r>
    </w:p>
    <w:p w14:paraId="3649209A" w14:textId="77777777" w:rsidR="00C607AD" w:rsidRPr="00570B57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sz w:val="24"/>
          <w:szCs w:val="24"/>
          <w:lang w:eastAsia="ar-SA"/>
        </w:rPr>
      </w:pPr>
    </w:p>
    <w:p w14:paraId="2E748D09" w14:textId="77777777" w:rsidR="00C607AD" w:rsidRDefault="00C607AD" w:rsidP="00C607AD">
      <w:pPr>
        <w:keepNext/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Zúčtovací</w:t>
      </w:r>
      <w:r w:rsidRPr="00580A36">
        <w:rPr>
          <w:rFonts w:ascii="Arial" w:eastAsia="Times New Roman" w:hAnsi="Arial" w:cs="Times New Roman"/>
          <w:lang w:eastAsia="ar-SA"/>
        </w:rPr>
        <w:t xml:space="preserve"> centrum vyjme tržby za jízdní doklady sezónního dopravce (ty, které byly poslány cestou dl</w:t>
      </w:r>
      <w:r>
        <w:rPr>
          <w:rFonts w:ascii="Arial" w:eastAsia="Times New Roman" w:hAnsi="Arial" w:cs="Times New Roman"/>
          <w:lang w:eastAsia="ar-SA"/>
        </w:rPr>
        <w:t>e bodu 4.14</w:t>
      </w:r>
      <w:r w:rsidRPr="00580A36">
        <w:rPr>
          <w:rFonts w:ascii="Arial" w:eastAsia="Times New Roman" w:hAnsi="Arial" w:cs="Times New Roman"/>
          <w:lang w:eastAsia="ar-SA"/>
        </w:rPr>
        <w:t>) a neprovede rozdělení tržeb dle tabulky č. 2</w:t>
      </w:r>
      <w:r>
        <w:rPr>
          <w:rFonts w:ascii="Arial" w:eastAsia="Times New Roman" w:hAnsi="Arial" w:cs="Times New Roman"/>
          <w:lang w:eastAsia="ar-SA"/>
        </w:rPr>
        <w:t>.</w:t>
      </w:r>
    </w:p>
    <w:p w14:paraId="48536AFC" w14:textId="77777777" w:rsidR="00C607AD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433C21C9" w14:textId="77777777" w:rsidR="00C607AD" w:rsidRDefault="00C607AD" w:rsidP="00C607AD">
      <w:pPr>
        <w:keepNext/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Zúčtovací centrum vyjme tržby za jízdní doklady vydané </w:t>
      </w:r>
      <w:r w:rsidRPr="00040FE0">
        <w:rPr>
          <w:rFonts w:ascii="Arial" w:eastAsia="Times New Roman" w:hAnsi="Arial" w:cs="Times New Roman"/>
          <w:lang w:eastAsia="ar-SA"/>
        </w:rPr>
        <w:t>v tarifních zónách VDV (shodné s působnosti dané MHD) pro přepravu mezi těmito zónami</w:t>
      </w:r>
      <w:r>
        <w:rPr>
          <w:rFonts w:ascii="Arial" w:eastAsia="Times New Roman" w:hAnsi="Arial" w:cs="Times New Roman"/>
          <w:lang w:eastAsia="ar-SA"/>
        </w:rPr>
        <w:t xml:space="preserve">, </w:t>
      </w:r>
      <w:r w:rsidRPr="001236C8">
        <w:rPr>
          <w:rFonts w:ascii="Arial" w:eastAsia="Times New Roman" w:hAnsi="Arial" w:cs="Times New Roman"/>
          <w:lang w:eastAsia="ar-SA"/>
        </w:rPr>
        <w:t>a neprovede rozdělení tržeb dle tabulky č. 2.</w:t>
      </w:r>
    </w:p>
    <w:p w14:paraId="74E8E67F" w14:textId="77777777" w:rsidR="00C607AD" w:rsidRPr="000F7623" w:rsidRDefault="00C607AD" w:rsidP="00C607AD">
      <w:pPr>
        <w:pStyle w:val="Odstavecseseznamem"/>
        <w:keepNext/>
        <w:tabs>
          <w:tab w:val="left" w:pos="709"/>
        </w:tabs>
        <w:suppressAutoHyphens/>
        <w:spacing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25DF851C" w14:textId="77777777" w:rsidR="00C607AD" w:rsidRPr="00580A36" w:rsidRDefault="00C607AD" w:rsidP="00C607AD">
      <w:pPr>
        <w:keepNext/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Zúčtovací</w:t>
      </w:r>
      <w:r w:rsidRPr="00580A36">
        <w:rPr>
          <w:rFonts w:ascii="Arial" w:eastAsia="Times New Roman" w:hAnsi="Arial" w:cs="Times New Roman"/>
          <w:lang w:eastAsia="ar-SA"/>
        </w:rPr>
        <w:t xml:space="preserve"> centrum rozdělí tržby</w:t>
      </w:r>
      <w:r>
        <w:rPr>
          <w:rFonts w:ascii="Arial" w:eastAsia="Times New Roman" w:hAnsi="Arial" w:cs="Times New Roman"/>
          <w:lang w:eastAsia="ar-SA"/>
        </w:rPr>
        <w:t xml:space="preserve"> a kompenzace</w:t>
      </w:r>
      <w:r w:rsidRPr="00580A36">
        <w:rPr>
          <w:rFonts w:ascii="Arial" w:eastAsia="Times New Roman" w:hAnsi="Arial" w:cs="Times New Roman"/>
          <w:lang w:eastAsia="ar-SA"/>
        </w:rPr>
        <w:t xml:space="preserve"> za jízdní doklady (ty, které </w:t>
      </w:r>
      <w:r>
        <w:rPr>
          <w:rFonts w:ascii="Arial" w:eastAsia="Times New Roman" w:hAnsi="Arial" w:cs="Times New Roman"/>
          <w:lang w:eastAsia="ar-SA"/>
        </w:rPr>
        <w:t xml:space="preserve">byly poslány </w:t>
      </w:r>
      <w:r w:rsidRPr="00580A36">
        <w:rPr>
          <w:rFonts w:ascii="Arial" w:eastAsia="Times New Roman" w:hAnsi="Arial" w:cs="Times New Roman"/>
          <w:lang w:eastAsia="ar-SA"/>
        </w:rPr>
        <w:t xml:space="preserve">cestou </w:t>
      </w:r>
      <w:r>
        <w:rPr>
          <w:rFonts w:ascii="Arial" w:eastAsia="Times New Roman" w:hAnsi="Arial" w:cs="Times New Roman"/>
          <w:lang w:eastAsia="ar-SA"/>
        </w:rPr>
        <w:t>dle bodu 4.14</w:t>
      </w:r>
      <w:r w:rsidRPr="00580A36">
        <w:rPr>
          <w:rFonts w:ascii="Arial" w:eastAsia="Times New Roman" w:hAnsi="Arial" w:cs="Times New Roman"/>
          <w:lang w:eastAsia="ar-SA"/>
        </w:rPr>
        <w:t xml:space="preserve"> dle tabulky č. 2. Toto rozúčtování probíhá včetně DPH.</w:t>
      </w:r>
    </w:p>
    <w:p w14:paraId="0B02371A" w14:textId="77777777" w:rsidR="00C607AD" w:rsidRPr="00B51921" w:rsidRDefault="00C607AD" w:rsidP="00C607AD">
      <w:pPr>
        <w:tabs>
          <w:tab w:val="left" w:pos="709"/>
          <w:tab w:val="left" w:pos="1501"/>
        </w:tabs>
        <w:suppressAutoHyphens/>
        <w:spacing w:before="58" w:after="0" w:line="256" w:lineRule="auto"/>
        <w:ind w:left="709"/>
        <w:jc w:val="both"/>
        <w:outlineLvl w:val="2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14:paraId="6F088F33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bookmarkStart w:id="8" w:name="_Ref393813768"/>
      <w:r w:rsidRPr="00570B57">
        <w:rPr>
          <w:rFonts w:ascii="Arial" w:eastAsia="Times New Roman" w:hAnsi="Arial" w:cs="Times New Roman"/>
          <w:lang w:eastAsia="ar-SA"/>
        </w:rPr>
        <w:t>Po</w:t>
      </w:r>
      <w:r>
        <w:rPr>
          <w:rFonts w:ascii="Arial" w:eastAsia="Times New Roman" w:hAnsi="Arial" w:cs="Times New Roman"/>
          <w:lang w:eastAsia="ar-SA"/>
        </w:rPr>
        <w:t>dklady pro rozúčtování</w:t>
      </w:r>
      <w:r w:rsidRPr="00570B57">
        <w:rPr>
          <w:rFonts w:ascii="Arial" w:eastAsia="Times New Roman" w:hAnsi="Arial" w:cs="Times New Roman"/>
          <w:lang w:eastAsia="ar-SA"/>
        </w:rPr>
        <w:t xml:space="preserve"> tržeb jízdného mezi jednotlivé dopravce</w:t>
      </w:r>
      <w:bookmarkEnd w:id="8"/>
      <w:r w:rsidRPr="00570B57">
        <w:rPr>
          <w:rFonts w:ascii="Arial" w:eastAsia="Times New Roman" w:hAnsi="Arial" w:cs="Times New Roman"/>
          <w:lang w:eastAsia="ar-SA"/>
        </w:rPr>
        <w:t xml:space="preserve"> </w:t>
      </w:r>
    </w:p>
    <w:p w14:paraId="366A7E8E" w14:textId="77777777" w:rsidR="00C607AD" w:rsidRPr="00570B57" w:rsidRDefault="00C607AD" w:rsidP="00C607AD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2E85DE23" w14:textId="77777777" w:rsidR="00C607AD" w:rsidRDefault="00C607AD" w:rsidP="00C607AD">
      <w:pPr>
        <w:tabs>
          <w:tab w:val="left" w:pos="709"/>
          <w:tab w:val="left" w:pos="1501"/>
          <w:tab w:val="left" w:pos="1850"/>
          <w:tab w:val="left" w:pos="2127"/>
          <w:tab w:val="left" w:pos="3938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 w:rsidRPr="00580A36">
        <w:rPr>
          <w:rFonts w:ascii="Arial" w:eastAsia="Times New Roman" w:hAnsi="Arial" w:cs="Times New Roman"/>
          <w:lang w:eastAsia="ar-SA"/>
        </w:rPr>
        <w:t>Tržby budou rozúčtovány váženým průměrem, kde váhy jednotlivých dopravců jsou dány tabulkou č. 2. Váha jednotlivého dopravce odpovídá poměru rozsahu dopravní obslužnosti do tarifu VDV zapojeného dle jednotlivých dopravců.</w:t>
      </w:r>
    </w:p>
    <w:p w14:paraId="60A7A24E" w14:textId="77777777" w:rsidR="00C607AD" w:rsidRPr="00580A36" w:rsidRDefault="00C607AD" w:rsidP="00C607AD">
      <w:pPr>
        <w:tabs>
          <w:tab w:val="left" w:pos="709"/>
          <w:tab w:val="left" w:pos="1501"/>
          <w:tab w:val="left" w:pos="1850"/>
          <w:tab w:val="left" w:pos="2127"/>
          <w:tab w:val="left" w:pos="3938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1A0A7004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 w:rsidRPr="00580A36">
        <w:rPr>
          <w:rFonts w:ascii="Arial" w:eastAsia="Times New Roman" w:hAnsi="Arial" w:cs="Times New Roman"/>
          <w:lang w:eastAsia="ar-SA"/>
        </w:rPr>
        <w:t>Tabulka je vydávána Krajským úřadem Kraje Vysočina, Odborem dopravy a silničního hospodářství minimálně s 15 denním předstihem před počátkem její platnosti (tj. tabulka se může v čase měnit)</w:t>
      </w:r>
      <w:r w:rsidRPr="00C726EE">
        <w:rPr>
          <w:rFonts w:ascii="Arial" w:eastAsia="Times New Roman" w:hAnsi="Arial" w:cs="Times New Roman"/>
          <w:lang w:eastAsia="ar-SA"/>
        </w:rPr>
        <w:t>.</w:t>
      </w:r>
    </w:p>
    <w:p w14:paraId="1D780F97" w14:textId="77777777" w:rsidR="00C607AD" w:rsidRPr="00580A36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21FAC7EF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Zúčtovací </w:t>
      </w:r>
      <w:r w:rsidRPr="00580A36">
        <w:rPr>
          <w:rFonts w:ascii="Arial" w:eastAsia="Times New Roman" w:hAnsi="Arial" w:cs="Times New Roman"/>
          <w:lang w:eastAsia="ar-SA"/>
        </w:rPr>
        <w:t>centrum do celkové bilance dopravce započte veškeré dílčí doklady, čímž vznikne výsledná bilance dopravce.</w:t>
      </w:r>
    </w:p>
    <w:p w14:paraId="2CD4D885" w14:textId="77777777" w:rsidR="00C607AD" w:rsidRPr="00580A36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7C831EBC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80A36">
        <w:rPr>
          <w:rFonts w:ascii="Arial" w:eastAsia="Times New Roman" w:hAnsi="Arial" w:cs="Times New Roman"/>
          <w:lang w:eastAsia="ar-SA"/>
        </w:rPr>
        <w:t>Tržby sezónního dopravce jsou vyjmuty z celkových tržeb a jsou rozděleny na jednotlivé linko-</w:t>
      </w:r>
      <w:proofErr w:type="spellStart"/>
      <w:r w:rsidRPr="00580A36">
        <w:rPr>
          <w:rFonts w:ascii="Arial" w:eastAsia="Times New Roman" w:hAnsi="Arial" w:cs="Times New Roman"/>
          <w:lang w:eastAsia="ar-SA"/>
        </w:rPr>
        <w:t>vlako</w:t>
      </w:r>
      <w:proofErr w:type="spellEnd"/>
      <w:r w:rsidRPr="00580A36">
        <w:rPr>
          <w:rFonts w:ascii="Arial" w:eastAsia="Times New Roman" w:hAnsi="Arial" w:cs="Times New Roman"/>
          <w:lang w:eastAsia="ar-SA"/>
        </w:rPr>
        <w:t xml:space="preserve"> spoje dle skutečnosti (ty, kter</w:t>
      </w:r>
      <w:r>
        <w:rPr>
          <w:rFonts w:ascii="Arial" w:eastAsia="Times New Roman" w:hAnsi="Arial" w:cs="Times New Roman"/>
          <w:lang w:eastAsia="ar-SA"/>
        </w:rPr>
        <w:t>é byly poslány cestou dle bodu 4</w:t>
      </w:r>
      <w:r w:rsidRPr="00580A36">
        <w:rPr>
          <w:rFonts w:ascii="Arial" w:eastAsia="Times New Roman" w:hAnsi="Arial" w:cs="Times New Roman"/>
          <w:lang w:eastAsia="ar-SA"/>
        </w:rPr>
        <w:t>.</w:t>
      </w:r>
      <w:r>
        <w:rPr>
          <w:rFonts w:ascii="Arial" w:eastAsia="Times New Roman" w:hAnsi="Arial" w:cs="Times New Roman"/>
          <w:lang w:eastAsia="ar-SA"/>
        </w:rPr>
        <w:t>14</w:t>
      </w:r>
      <w:r w:rsidRPr="00580A36">
        <w:rPr>
          <w:rFonts w:ascii="Arial" w:eastAsia="Times New Roman" w:hAnsi="Arial" w:cs="Times New Roman"/>
          <w:lang w:eastAsia="ar-SA"/>
        </w:rPr>
        <w:t>)</w:t>
      </w:r>
    </w:p>
    <w:p w14:paraId="4D3F09E2" w14:textId="77777777" w:rsidR="00C607AD" w:rsidRDefault="00C607AD" w:rsidP="00C607AD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066AF90C" w14:textId="7DD92EDE" w:rsidR="00C607AD" w:rsidRPr="00E131C5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b/>
          <w:lang w:eastAsia="ar-SA"/>
        </w:rPr>
      </w:pPr>
      <w:r w:rsidRPr="006512F9">
        <w:rPr>
          <w:rFonts w:ascii="Arial" w:eastAsia="Times New Roman" w:hAnsi="Arial" w:cs="Times New Roman"/>
          <w:lang w:eastAsia="ar-SA"/>
        </w:rPr>
        <w:t>Tržby v tarifních zónách (shodné s působnosti dané MHD) jsou vyjmuty z celkových</w:t>
      </w:r>
      <w:r>
        <w:rPr>
          <w:rFonts w:ascii="Arial" w:eastAsia="Times New Roman" w:hAnsi="Arial" w:cs="Times New Roman"/>
          <w:lang w:eastAsia="ar-SA"/>
        </w:rPr>
        <w:t xml:space="preserve"> tržeb a jsou rozděleny dle skutečnosti.</w:t>
      </w:r>
    </w:p>
    <w:p w14:paraId="0FE7EA12" w14:textId="77777777" w:rsidR="00E131C5" w:rsidRPr="00E131C5" w:rsidRDefault="00E131C5" w:rsidP="00E131C5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b/>
          <w:lang w:eastAsia="ar-SA"/>
        </w:rPr>
      </w:pPr>
    </w:p>
    <w:p w14:paraId="1957A8D4" w14:textId="77777777" w:rsidR="00E131C5" w:rsidRPr="00362AAE" w:rsidRDefault="00E131C5" w:rsidP="00E131C5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/>
          <w:b/>
          <w:lang w:eastAsia="ar-SA"/>
        </w:rPr>
      </w:pPr>
      <w:r w:rsidRPr="00362AAE">
        <w:rPr>
          <w:rFonts w:ascii="Arial" w:eastAsia="Times New Roman" w:hAnsi="Arial"/>
          <w:lang w:eastAsia="ar-SA"/>
        </w:rPr>
        <w:t>Tržby za přepravu v zónách 200 Třebíč, 1 až 7 Jihlava, případně dalších vzniklých zónách „X“ jsou rozúčtovány dle tabulky č. 2 na všechny dopravce zapojené do zúčtování.</w:t>
      </w:r>
    </w:p>
    <w:p w14:paraId="52F47F97" w14:textId="77777777" w:rsidR="00E131C5" w:rsidRPr="00362AAE" w:rsidRDefault="00E131C5" w:rsidP="00E131C5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/>
          <w:lang w:eastAsia="ar-SA"/>
        </w:rPr>
      </w:pPr>
      <w:r w:rsidRPr="00362AAE">
        <w:rPr>
          <w:rFonts w:ascii="Arial" w:eastAsia="Times New Roman" w:hAnsi="Arial"/>
          <w:lang w:eastAsia="ar-SA"/>
        </w:rPr>
        <w:t xml:space="preserve">K tržbám v těchto zónách se nevyčíslují kompenzace „státních“ slev, protože se jedná o přepravu uvnitř města. </w:t>
      </w:r>
    </w:p>
    <w:p w14:paraId="08CFB500" w14:textId="77777777" w:rsidR="00E131C5" w:rsidRPr="00362AAE" w:rsidRDefault="00E131C5" w:rsidP="00E131C5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  <w:r w:rsidRPr="00362AAE">
        <w:rPr>
          <w:rFonts w:ascii="Arial" w:hAnsi="Arial"/>
        </w:rPr>
        <w:t>„ X“ znamená obdobná zóna, kterou může objednatel v budoucnu definovat např. v dalším městě.</w:t>
      </w:r>
    </w:p>
    <w:p w14:paraId="5842ACB4" w14:textId="77777777" w:rsidR="00E131C5" w:rsidRPr="00192780" w:rsidRDefault="00E131C5" w:rsidP="00E131C5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b/>
          <w:lang w:eastAsia="ar-SA"/>
        </w:rPr>
      </w:pPr>
    </w:p>
    <w:p w14:paraId="50E101F2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</w:p>
    <w:p w14:paraId="631490C8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</w:p>
    <w:p w14:paraId="270329C4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</w:p>
    <w:p w14:paraId="3F660744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 w:rsidRPr="00625EA6">
        <w:rPr>
          <w:noProof/>
          <w:lang w:eastAsia="cs-CZ"/>
        </w:rPr>
        <w:drawing>
          <wp:inline distT="0" distB="0" distL="0" distR="0" wp14:anchorId="34C87E45" wp14:editId="0AA0F9AE">
            <wp:extent cx="5143500" cy="2284095"/>
            <wp:effectExtent l="0" t="0" r="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28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184FC" w14:textId="77777777" w:rsidR="00C607AD" w:rsidRPr="00580A36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2EC783C0" w14:textId="25D9B255" w:rsidR="00C607AD" w:rsidRPr="00A74D0E" w:rsidRDefault="00D47C09" w:rsidP="00D47C09">
      <w:pPr>
        <w:tabs>
          <w:tab w:val="left" w:pos="709"/>
        </w:tabs>
        <w:suppressAutoHyphens/>
        <w:spacing w:before="120" w:after="120" w:line="257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ab/>
      </w:r>
      <w:r w:rsidR="00C607AD" w:rsidRPr="00A74D0E">
        <w:rPr>
          <w:rFonts w:ascii="Arial" w:eastAsia="Times New Roman" w:hAnsi="Arial" w:cs="Arial"/>
          <w:lang w:eastAsia="ar-SA"/>
        </w:rPr>
        <w:t xml:space="preserve">Tabulka č. 2:vzor stanovení poměru, ve kterém se jízdné rozúčtuje mezi jednotlivé </w:t>
      </w:r>
      <w:r w:rsidR="00C607AD">
        <w:rPr>
          <w:rFonts w:ascii="Arial" w:eastAsia="Times New Roman" w:hAnsi="Arial" w:cs="Arial"/>
          <w:lang w:eastAsia="ar-SA"/>
        </w:rPr>
        <w:tab/>
      </w:r>
      <w:r w:rsidR="00C607AD" w:rsidRPr="00A74D0E">
        <w:rPr>
          <w:rFonts w:ascii="Arial" w:eastAsia="Times New Roman" w:hAnsi="Arial" w:cs="Arial"/>
          <w:lang w:eastAsia="ar-SA"/>
        </w:rPr>
        <w:t xml:space="preserve">dopravce </w:t>
      </w:r>
    </w:p>
    <w:p w14:paraId="37162C2D" w14:textId="77777777" w:rsidR="00C607AD" w:rsidRDefault="00C607AD" w:rsidP="00C607AD">
      <w:pPr>
        <w:tabs>
          <w:tab w:val="left" w:pos="1296"/>
        </w:tabs>
        <w:suppressAutoHyphens/>
        <w:spacing w:before="245" w:after="0" w:line="256" w:lineRule="auto"/>
        <w:ind w:left="43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8A98280" w14:textId="77777777" w:rsidR="00C607AD" w:rsidRDefault="00C607AD" w:rsidP="00C607AD">
      <w:pPr>
        <w:pStyle w:val="Odstavecseseznamem"/>
        <w:keepNext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 xml:space="preserve">Realizace finančních toků </w:t>
      </w:r>
    </w:p>
    <w:p w14:paraId="4A0065A1" w14:textId="77777777" w:rsidR="00C607AD" w:rsidRPr="00034763" w:rsidRDefault="00C607AD" w:rsidP="00C607AD">
      <w:pPr>
        <w:pStyle w:val="Odstavecseseznamem"/>
        <w:keepNext/>
        <w:spacing w:after="0"/>
        <w:ind w:left="432"/>
        <w:rPr>
          <w:rFonts w:ascii="Arial" w:hAnsi="Arial" w:cs="Arial"/>
          <w:b/>
          <w:bCs/>
          <w:sz w:val="28"/>
          <w:szCs w:val="28"/>
          <w:lang w:eastAsia="ar-SA"/>
        </w:rPr>
      </w:pPr>
    </w:p>
    <w:p w14:paraId="0C47B85E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 xml:space="preserve">Krajský úřad Kraje Vysočina nebude účastníkem </w:t>
      </w:r>
      <w:r>
        <w:rPr>
          <w:rFonts w:ascii="Arial" w:eastAsia="Calibri" w:hAnsi="Arial" w:cs="Times New Roman"/>
        </w:rPr>
        <w:t>clearingu tržeb</w:t>
      </w:r>
      <w:r w:rsidRPr="005352B2">
        <w:rPr>
          <w:rFonts w:ascii="Arial" w:eastAsia="Calibri" w:hAnsi="Arial" w:cs="Times New Roman"/>
        </w:rPr>
        <w:t>.</w:t>
      </w:r>
      <w:r w:rsidRPr="005352B2">
        <w:rPr>
          <w:rFonts w:ascii="Arial" w:eastAsia="Calibri" w:hAnsi="Arial" w:cs="Times New Roman"/>
        </w:rPr>
        <w:br/>
      </w:r>
    </w:p>
    <w:p w14:paraId="3678B0B0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>Povinným odvést daň na výstupu je dopravce, který inkasoval celé jízdné.</w:t>
      </w:r>
      <w:r w:rsidRPr="005352B2">
        <w:rPr>
          <w:rFonts w:ascii="Arial" w:eastAsia="Calibri" w:hAnsi="Arial" w:cs="Times New Roman"/>
        </w:rPr>
        <w:br/>
      </w:r>
    </w:p>
    <w:p w14:paraId="4F1F0ECD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 xml:space="preserve">Zúčtovací centrum provádí zúčtování celého jízdného, tj. částky včetně DPH. Dopravci si tedy mezi sebou </w:t>
      </w:r>
      <w:proofErr w:type="spellStart"/>
      <w:r w:rsidRPr="005352B2">
        <w:rPr>
          <w:rFonts w:ascii="Arial" w:eastAsia="Calibri" w:hAnsi="Arial" w:cs="Times New Roman"/>
        </w:rPr>
        <w:t>přefakturovávají</w:t>
      </w:r>
      <w:proofErr w:type="spellEnd"/>
      <w:r w:rsidRPr="005352B2">
        <w:rPr>
          <w:rFonts w:ascii="Arial" w:eastAsia="Calibri" w:hAnsi="Arial" w:cs="Times New Roman"/>
        </w:rPr>
        <w:t xml:space="preserve"> poměrnou část z jízdného včetně DPH, a to za skutečně poskytnutou službu. Každý dopravce tak odvede daň pouze za skutečnou poskytnutou službu.</w:t>
      </w:r>
      <w:r w:rsidRPr="005352B2">
        <w:rPr>
          <w:rFonts w:ascii="Arial" w:eastAsia="Calibri" w:hAnsi="Arial" w:cs="Times New Roman"/>
        </w:rPr>
        <w:br/>
      </w:r>
    </w:p>
    <w:p w14:paraId="7587B785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>Zúčtovací centrum nepřipravuje pro sezónního dopravce doklady dle bodu 4.9 a 4.10 těchto principů.</w:t>
      </w:r>
    </w:p>
    <w:p w14:paraId="415E34CF" w14:textId="77777777" w:rsidR="00C607AD" w:rsidRDefault="00C607AD" w:rsidP="002D066B">
      <w:pPr>
        <w:tabs>
          <w:tab w:val="left" w:pos="990"/>
        </w:tabs>
      </w:pPr>
    </w:p>
    <w:sectPr w:rsidR="00C607AD" w:rsidSect="004B19F8">
      <w:footerReference w:type="default" r:id="rId9"/>
      <w:type w:val="continuous"/>
      <w:pgSz w:w="11906" w:h="16838"/>
      <w:pgMar w:top="121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7640D" w14:textId="77777777" w:rsidR="006C1A1B" w:rsidRDefault="006C1A1B" w:rsidP="00EA0C2E">
      <w:pPr>
        <w:spacing w:after="0" w:line="240" w:lineRule="auto"/>
      </w:pPr>
      <w:r>
        <w:separator/>
      </w:r>
    </w:p>
  </w:endnote>
  <w:endnote w:type="continuationSeparator" w:id="0">
    <w:p w14:paraId="5869A27E" w14:textId="77777777" w:rsidR="006C1A1B" w:rsidRDefault="006C1A1B" w:rsidP="00E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5200FDFF" w:usb2="0A04202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B770A" w14:textId="4348B0C9" w:rsidR="00000000" w:rsidRPr="005C4CB5" w:rsidRDefault="00B16A47" w:rsidP="00E04475">
    <w:pPr>
      <w:pStyle w:val="slostrany"/>
      <w:rPr>
        <w:szCs w:val="16"/>
      </w:rPr>
    </w:pPr>
    <w:r w:rsidRPr="00BB624C"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4C04E4">
      <w:rPr>
        <w:noProof/>
      </w:rPr>
      <w:t>8</w:t>
    </w:r>
    <w:r>
      <w:rPr>
        <w:noProof/>
      </w:rPr>
      <w:fldChar w:fldCharType="end"/>
    </w:r>
    <w:r w:rsidRPr="00BB624C">
      <w:t xml:space="preserve"> /</w:t>
    </w:r>
    <w:r>
      <w:t xml:space="preserve"> </w:t>
    </w:r>
    <w:fldSimple w:instr=" NUMPAGES ">
      <w:r w:rsidR="004C04E4">
        <w:rPr>
          <w:noProof/>
        </w:rPr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5AE13" w14:textId="77777777" w:rsidR="006C1A1B" w:rsidRDefault="006C1A1B" w:rsidP="00EA0C2E">
      <w:pPr>
        <w:spacing w:after="0" w:line="240" w:lineRule="auto"/>
      </w:pPr>
      <w:r>
        <w:separator/>
      </w:r>
    </w:p>
  </w:footnote>
  <w:footnote w:type="continuationSeparator" w:id="0">
    <w:p w14:paraId="7719E075" w14:textId="77777777" w:rsidR="006C1A1B" w:rsidRDefault="006C1A1B" w:rsidP="00EA0C2E">
      <w:pPr>
        <w:spacing w:after="0" w:line="240" w:lineRule="auto"/>
      </w:pPr>
      <w:r>
        <w:continuationSeparator/>
      </w:r>
    </w:p>
  </w:footnote>
  <w:footnote w:id="1">
    <w:p w14:paraId="5C974F2B" w14:textId="77777777" w:rsidR="00C607AD" w:rsidRDefault="00C607AD" w:rsidP="00C607AD">
      <w:pPr>
        <w:pStyle w:val="Textpoznpodarou"/>
      </w:pPr>
      <w:r>
        <w:rPr>
          <w:rStyle w:val="Znakypropoznmkupodarou"/>
        </w:rPr>
        <w:footnoteRef/>
      </w:r>
      <w:r>
        <w:rPr>
          <w:rStyle w:val="Znakypropoznmkupodarou"/>
        </w:rPr>
        <w:t xml:space="preserve"> </w:t>
      </w:r>
      <w:r>
        <w:t xml:space="preserve"> Druhem jízdného se myslí jízdné pro kategorie např. dítě, student, osoba 65+, atd.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7BB2"/>
    <w:multiLevelType w:val="multilevel"/>
    <w:tmpl w:val="3C10A24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904"/>
        </w:tabs>
        <w:ind w:left="5608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932" w:hanging="648"/>
      </w:pPr>
    </w:lvl>
    <w:lvl w:ilvl="4">
      <w:start w:val="1"/>
      <w:numFmt w:val="decimal"/>
      <w:lvlText w:val="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.....%2.%3.%4.%5.%6.%7."/>
      <w:lvlJc w:val="left"/>
      <w:pPr>
        <w:tabs>
          <w:tab w:val="num" w:pos="6120"/>
        </w:tabs>
        <w:ind w:left="3240" w:hanging="1080"/>
      </w:pPr>
      <w:rPr>
        <w:i/>
        <w:sz w:val="22"/>
        <w:szCs w:val="22"/>
      </w:rPr>
    </w:lvl>
    <w:lvl w:ilvl="7">
      <w:start w:val="1"/>
      <w:numFmt w:val="decimal"/>
      <w:lvlText w:val="....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....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1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80959"/>
    <w:multiLevelType w:val="hybridMultilevel"/>
    <w:tmpl w:val="B80A0786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CF7F8B"/>
    <w:multiLevelType w:val="hybridMultilevel"/>
    <w:tmpl w:val="F524290A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974F2"/>
    <w:multiLevelType w:val="hybridMultilevel"/>
    <w:tmpl w:val="68D06A34"/>
    <w:lvl w:ilvl="0" w:tplc="B394C5D6">
      <w:start w:val="1"/>
      <w:numFmt w:val="decimal"/>
      <w:pStyle w:val="KRUTEXTODSTAVCE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C6556"/>
    <w:multiLevelType w:val="hybridMultilevel"/>
    <w:tmpl w:val="0A1C37D8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E0A4F88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</w:rPr>
    </w:lvl>
    <w:lvl w:ilvl="2" w:tplc="17161CA0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A51037"/>
    <w:multiLevelType w:val="hybridMultilevel"/>
    <w:tmpl w:val="90FCB7BC"/>
    <w:lvl w:ilvl="0" w:tplc="456C90C6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A57A1D"/>
    <w:multiLevelType w:val="hybridMultilevel"/>
    <w:tmpl w:val="323C815E"/>
    <w:lvl w:ilvl="0" w:tplc="F34675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33DBA"/>
    <w:multiLevelType w:val="hybridMultilevel"/>
    <w:tmpl w:val="8D42C546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C3C13"/>
    <w:multiLevelType w:val="multilevel"/>
    <w:tmpl w:val="8062D116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571542A"/>
    <w:multiLevelType w:val="hybridMultilevel"/>
    <w:tmpl w:val="3FC00630"/>
    <w:lvl w:ilvl="0" w:tplc="F02091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B0D1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33503A"/>
    <w:multiLevelType w:val="multilevel"/>
    <w:tmpl w:val="F39C58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1A8687C"/>
    <w:multiLevelType w:val="hybridMultilevel"/>
    <w:tmpl w:val="73B0B5D4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483B0A"/>
    <w:multiLevelType w:val="hybridMultilevel"/>
    <w:tmpl w:val="737A7E0C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4130422"/>
    <w:multiLevelType w:val="hybridMultilevel"/>
    <w:tmpl w:val="B2F4C72E"/>
    <w:lvl w:ilvl="0" w:tplc="A9BE8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255F25"/>
    <w:multiLevelType w:val="multilevel"/>
    <w:tmpl w:val="696609D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904"/>
        </w:tabs>
        <w:ind w:left="5608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932" w:hanging="648"/>
      </w:pPr>
    </w:lvl>
    <w:lvl w:ilvl="4">
      <w:start w:val="1"/>
      <w:numFmt w:val="decimal"/>
      <w:lvlText w:val="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.....%2.%3.%4.%5.%6.%7."/>
      <w:lvlJc w:val="left"/>
      <w:pPr>
        <w:tabs>
          <w:tab w:val="num" w:pos="6120"/>
        </w:tabs>
        <w:ind w:left="3240" w:hanging="1080"/>
      </w:pPr>
      <w:rPr>
        <w:i/>
        <w:sz w:val="22"/>
        <w:szCs w:val="22"/>
      </w:rPr>
    </w:lvl>
    <w:lvl w:ilvl="7">
      <w:start w:val="1"/>
      <w:numFmt w:val="decimal"/>
      <w:lvlText w:val="....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....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16" w15:restartNumberingAfterBreak="0">
    <w:nsid w:val="71FD36B8"/>
    <w:multiLevelType w:val="hybridMultilevel"/>
    <w:tmpl w:val="F80A2A4E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4035A0"/>
    <w:multiLevelType w:val="hybridMultilevel"/>
    <w:tmpl w:val="7B18C42C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caps w:val="0"/>
        <w:strike w:val="0"/>
        <w:dstrike w:val="0"/>
        <w:vanish w:val="0"/>
        <w:color w:val="000000"/>
        <w:vertAlign w:val="baseline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5521273">
    <w:abstractNumId w:val="16"/>
  </w:num>
  <w:num w:numId="2" w16cid:durableId="1098211250">
    <w:abstractNumId w:val="12"/>
  </w:num>
  <w:num w:numId="3" w16cid:durableId="1531645135">
    <w:abstractNumId w:val="17"/>
  </w:num>
  <w:num w:numId="4" w16cid:durableId="1171603203">
    <w:abstractNumId w:val="14"/>
  </w:num>
  <w:num w:numId="5" w16cid:durableId="1628125252">
    <w:abstractNumId w:val="5"/>
  </w:num>
  <w:num w:numId="6" w16cid:durableId="1181969038">
    <w:abstractNumId w:val="2"/>
  </w:num>
  <w:num w:numId="7" w16cid:durableId="1375807171">
    <w:abstractNumId w:val="13"/>
  </w:num>
  <w:num w:numId="8" w16cid:durableId="224725000">
    <w:abstractNumId w:val="6"/>
  </w:num>
  <w:num w:numId="9" w16cid:durableId="823089056">
    <w:abstractNumId w:val="10"/>
  </w:num>
  <w:num w:numId="10" w16cid:durableId="2144156417">
    <w:abstractNumId w:val="11"/>
  </w:num>
  <w:num w:numId="11" w16cid:durableId="652221979">
    <w:abstractNumId w:val="0"/>
  </w:num>
  <w:num w:numId="12" w16cid:durableId="1446149879">
    <w:abstractNumId w:val="15"/>
  </w:num>
  <w:num w:numId="13" w16cid:durableId="679703994">
    <w:abstractNumId w:val="7"/>
  </w:num>
  <w:num w:numId="14" w16cid:durableId="2080983627">
    <w:abstractNumId w:val="8"/>
  </w:num>
  <w:num w:numId="15" w16cid:durableId="1355109877">
    <w:abstractNumId w:val="3"/>
  </w:num>
  <w:num w:numId="16" w16cid:durableId="1266572679">
    <w:abstractNumId w:val="4"/>
  </w:num>
  <w:num w:numId="17" w16cid:durableId="1343555348">
    <w:abstractNumId w:val="1"/>
  </w:num>
  <w:num w:numId="18" w16cid:durableId="1707412865">
    <w:abstractNumId w:val="9"/>
  </w:num>
  <w:num w:numId="19" w16cid:durableId="352196539">
    <w:abstractNumId w:val="9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709"/>
          </w:tabs>
          <w:ind w:left="709" w:hanging="709"/>
        </w:pPr>
        <w:rPr>
          <w:rFonts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F20"/>
    <w:rsid w:val="000030CC"/>
    <w:rsid w:val="00044C22"/>
    <w:rsid w:val="00046310"/>
    <w:rsid w:val="0005072D"/>
    <w:rsid w:val="00070266"/>
    <w:rsid w:val="0012152D"/>
    <w:rsid w:val="0019691C"/>
    <w:rsid w:val="001A2C54"/>
    <w:rsid w:val="001B7F3E"/>
    <w:rsid w:val="001C08D7"/>
    <w:rsid w:val="002517CB"/>
    <w:rsid w:val="0027773D"/>
    <w:rsid w:val="002871FA"/>
    <w:rsid w:val="0029344B"/>
    <w:rsid w:val="002B2746"/>
    <w:rsid w:val="002D066B"/>
    <w:rsid w:val="002D1455"/>
    <w:rsid w:val="002E6B4A"/>
    <w:rsid w:val="002F3504"/>
    <w:rsid w:val="00371255"/>
    <w:rsid w:val="00402396"/>
    <w:rsid w:val="00440321"/>
    <w:rsid w:val="004451BA"/>
    <w:rsid w:val="00467CE4"/>
    <w:rsid w:val="0048029D"/>
    <w:rsid w:val="004A66A4"/>
    <w:rsid w:val="004C04E4"/>
    <w:rsid w:val="00511721"/>
    <w:rsid w:val="00523F20"/>
    <w:rsid w:val="005648DF"/>
    <w:rsid w:val="00577DE2"/>
    <w:rsid w:val="005B02C2"/>
    <w:rsid w:val="005D2375"/>
    <w:rsid w:val="0062149C"/>
    <w:rsid w:val="006373C9"/>
    <w:rsid w:val="006920B4"/>
    <w:rsid w:val="006C1A1B"/>
    <w:rsid w:val="00711526"/>
    <w:rsid w:val="00722866"/>
    <w:rsid w:val="00727B1D"/>
    <w:rsid w:val="00742C4A"/>
    <w:rsid w:val="00761587"/>
    <w:rsid w:val="007767DA"/>
    <w:rsid w:val="007816C9"/>
    <w:rsid w:val="007A2990"/>
    <w:rsid w:val="0082703B"/>
    <w:rsid w:val="00840AED"/>
    <w:rsid w:val="008422C5"/>
    <w:rsid w:val="008627C4"/>
    <w:rsid w:val="00872A0B"/>
    <w:rsid w:val="008A75C5"/>
    <w:rsid w:val="008D0502"/>
    <w:rsid w:val="008E36F3"/>
    <w:rsid w:val="00934FFE"/>
    <w:rsid w:val="00946A0E"/>
    <w:rsid w:val="00963B8B"/>
    <w:rsid w:val="00966E9C"/>
    <w:rsid w:val="009F32EB"/>
    <w:rsid w:val="00A13DA5"/>
    <w:rsid w:val="00A30C2A"/>
    <w:rsid w:val="00A44829"/>
    <w:rsid w:val="00AA0B0B"/>
    <w:rsid w:val="00AF1FDB"/>
    <w:rsid w:val="00AF55DE"/>
    <w:rsid w:val="00B146D1"/>
    <w:rsid w:val="00B16A47"/>
    <w:rsid w:val="00B4415C"/>
    <w:rsid w:val="00B554A4"/>
    <w:rsid w:val="00B86026"/>
    <w:rsid w:val="00B915D3"/>
    <w:rsid w:val="00B95FA9"/>
    <w:rsid w:val="00B9744A"/>
    <w:rsid w:val="00BC7932"/>
    <w:rsid w:val="00C0251D"/>
    <w:rsid w:val="00C57811"/>
    <w:rsid w:val="00C607AD"/>
    <w:rsid w:val="00D22834"/>
    <w:rsid w:val="00D3217B"/>
    <w:rsid w:val="00D47C09"/>
    <w:rsid w:val="00DA20E8"/>
    <w:rsid w:val="00DC511E"/>
    <w:rsid w:val="00DC571F"/>
    <w:rsid w:val="00E131C5"/>
    <w:rsid w:val="00E3175A"/>
    <w:rsid w:val="00EA0C2E"/>
    <w:rsid w:val="00EB03AC"/>
    <w:rsid w:val="00EF6FA7"/>
    <w:rsid w:val="00F11EF5"/>
    <w:rsid w:val="00F41AD7"/>
    <w:rsid w:val="00F603E8"/>
    <w:rsid w:val="00F70B9C"/>
    <w:rsid w:val="00F91C45"/>
    <w:rsid w:val="00F943EB"/>
    <w:rsid w:val="00FC214D"/>
    <w:rsid w:val="00FE2950"/>
    <w:rsid w:val="00FE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DA02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0C2E"/>
  </w:style>
  <w:style w:type="paragraph" w:styleId="Nadpis1">
    <w:name w:val="heading 1"/>
    <w:basedOn w:val="Normln"/>
    <w:next w:val="Normln"/>
    <w:link w:val="Nadpis1Char"/>
    <w:uiPriority w:val="9"/>
    <w:qFormat/>
    <w:rsid w:val="00EA0C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EA0C2E"/>
    <w:pPr>
      <w:keepNext/>
      <w:numPr>
        <w:ilvl w:val="1"/>
        <w:numId w:val="10"/>
      </w:numPr>
      <w:tabs>
        <w:tab w:val="clear" w:pos="576"/>
      </w:tabs>
      <w:spacing w:before="240" w:after="60" w:line="240" w:lineRule="auto"/>
      <w:ind w:left="0"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EA0C2E"/>
    <w:pPr>
      <w:keepNext/>
      <w:numPr>
        <w:ilvl w:val="2"/>
        <w:numId w:val="10"/>
      </w:numPr>
      <w:tabs>
        <w:tab w:val="clear" w:pos="720"/>
      </w:tabs>
      <w:spacing w:before="240" w:after="60" w:line="240" w:lineRule="auto"/>
      <w:ind w:left="0" w:firstLine="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EA0C2E"/>
    <w:pPr>
      <w:keepNext/>
      <w:numPr>
        <w:ilvl w:val="3"/>
        <w:numId w:val="10"/>
      </w:numPr>
      <w:tabs>
        <w:tab w:val="clear" w:pos="864"/>
      </w:tabs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dpis5">
    <w:name w:val="heading 5"/>
    <w:basedOn w:val="Nadpis1"/>
    <w:next w:val="Normln"/>
    <w:link w:val="Nadpis5Char"/>
    <w:rsid w:val="00EA0C2E"/>
    <w:pPr>
      <w:keepNext w:val="0"/>
      <w:keepLines w:val="0"/>
      <w:numPr>
        <w:ilvl w:val="4"/>
        <w:numId w:val="10"/>
      </w:numPr>
      <w:tabs>
        <w:tab w:val="left" w:pos="1296"/>
        <w:tab w:val="left" w:pos="2592"/>
        <w:tab w:val="left" w:pos="3713"/>
      </w:tabs>
      <w:suppressAutoHyphens/>
      <w:spacing w:before="0" w:line="256" w:lineRule="auto"/>
      <w:ind w:left="864" w:hanging="864"/>
      <w:jc w:val="both"/>
      <w:outlineLvl w:val="4"/>
    </w:pPr>
    <w:rPr>
      <w:rFonts w:ascii="Arial" w:eastAsia="Times New Roman" w:hAnsi="Arial" w:cs="Arial"/>
      <w:color w:val="auto"/>
      <w:sz w:val="22"/>
      <w:szCs w:val="22"/>
      <w:lang w:eastAsia="ar-SA"/>
    </w:rPr>
  </w:style>
  <w:style w:type="paragraph" w:styleId="Nadpis6">
    <w:name w:val="heading 6"/>
    <w:basedOn w:val="Nadpis1"/>
    <w:next w:val="Normln"/>
    <w:link w:val="Nadpis6Char"/>
    <w:rsid w:val="00EA0C2E"/>
    <w:pPr>
      <w:keepNext w:val="0"/>
      <w:keepLines w:val="0"/>
      <w:numPr>
        <w:ilvl w:val="5"/>
        <w:numId w:val="10"/>
      </w:numPr>
      <w:tabs>
        <w:tab w:val="left" w:pos="1296"/>
        <w:tab w:val="left" w:pos="5955"/>
      </w:tabs>
      <w:suppressAutoHyphens/>
      <w:spacing w:before="60" w:after="60" w:line="256" w:lineRule="auto"/>
      <w:ind w:left="1985" w:hanging="1276"/>
      <w:jc w:val="both"/>
      <w:outlineLvl w:val="5"/>
    </w:pPr>
    <w:rPr>
      <w:rFonts w:ascii="Arial" w:eastAsia="Times New Roman" w:hAnsi="Arial" w:cs="Arial"/>
      <w:i/>
      <w:color w:val="auto"/>
      <w:spacing w:val="20"/>
      <w:sz w:val="22"/>
      <w:szCs w:val="22"/>
      <w:lang w:eastAsia="ar-SA"/>
    </w:rPr>
  </w:style>
  <w:style w:type="paragraph" w:styleId="Nadpis7">
    <w:name w:val="heading 7"/>
    <w:basedOn w:val="Normln"/>
    <w:next w:val="Normln"/>
    <w:link w:val="Nadpis7Char"/>
    <w:rsid w:val="00EA0C2E"/>
    <w:pPr>
      <w:keepNext/>
      <w:numPr>
        <w:ilvl w:val="6"/>
        <w:numId w:val="10"/>
      </w:numPr>
      <w:tabs>
        <w:tab w:val="left" w:pos="5955"/>
      </w:tabs>
      <w:suppressAutoHyphens/>
      <w:spacing w:after="240" w:line="256" w:lineRule="auto"/>
      <w:ind w:left="1985" w:hanging="1276"/>
      <w:outlineLvl w:val="6"/>
    </w:pPr>
    <w:rPr>
      <w:rFonts w:ascii="Arial" w:eastAsia="Times New Roman" w:hAnsi="Arial" w:cs="Arial"/>
      <w:i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A0C2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EA0C2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EA0C2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EA0C2E"/>
    <w:rPr>
      <w:rFonts w:ascii="Arial" w:eastAsia="Times New Roman" w:hAnsi="Arial" w:cs="Arial"/>
      <w:lang w:eastAsia="ar-SA"/>
    </w:rPr>
  </w:style>
  <w:style w:type="character" w:customStyle="1" w:styleId="Nadpis6Char">
    <w:name w:val="Nadpis 6 Char"/>
    <w:basedOn w:val="Standardnpsmoodstavce"/>
    <w:link w:val="Nadpis6"/>
    <w:rsid w:val="00EA0C2E"/>
    <w:rPr>
      <w:rFonts w:ascii="Arial" w:eastAsia="Times New Roman" w:hAnsi="Arial" w:cs="Arial"/>
      <w:i/>
      <w:spacing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EA0C2E"/>
    <w:rPr>
      <w:rFonts w:ascii="Arial" w:eastAsia="Times New Roman" w:hAnsi="Arial" w:cs="Arial"/>
      <w:i/>
      <w:lang w:eastAsia="ar-SA"/>
    </w:rPr>
  </w:style>
  <w:style w:type="paragraph" w:customStyle="1" w:styleId="slostrany">
    <w:name w:val="číslo strany"/>
    <w:basedOn w:val="Normln"/>
    <w:qFormat/>
    <w:rsid w:val="00EA0C2E"/>
    <w:pPr>
      <w:spacing w:before="160" w:after="0" w:line="240" w:lineRule="auto"/>
      <w:jc w:val="center"/>
    </w:pPr>
    <w:rPr>
      <w:rFonts w:ascii="Arial" w:eastAsia="Calibri" w:hAnsi="Arial" w:cs="Times New Roman"/>
      <w:sz w:val="16"/>
    </w:rPr>
  </w:style>
  <w:style w:type="paragraph" w:styleId="Textpoznpodarou">
    <w:name w:val="footnote text"/>
    <w:basedOn w:val="Normln"/>
    <w:link w:val="TextpoznpodarouChar"/>
    <w:rsid w:val="00EA0C2E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EA0C2E"/>
    <w:rPr>
      <w:rFonts w:ascii="Arial" w:eastAsia="Calibri" w:hAnsi="Arial" w:cs="Times New Roman"/>
      <w:sz w:val="20"/>
      <w:szCs w:val="20"/>
    </w:rPr>
  </w:style>
  <w:style w:type="character" w:customStyle="1" w:styleId="Znakypropoznmkupodarou">
    <w:name w:val="Znaky pro poznámku pod čarou"/>
    <w:rsid w:val="00EA0C2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EA0C2E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A0C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2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2C5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648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648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648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48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48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554A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B4415C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2D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066B"/>
  </w:style>
  <w:style w:type="paragraph" w:styleId="Zpat">
    <w:name w:val="footer"/>
    <w:basedOn w:val="Normln"/>
    <w:link w:val="ZpatChar"/>
    <w:uiPriority w:val="99"/>
    <w:unhideWhenUsed/>
    <w:rsid w:val="002D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066B"/>
  </w:style>
  <w:style w:type="paragraph" w:customStyle="1" w:styleId="KRUTEXTODSTAVCE">
    <w:name w:val="_KRU_TEXT_ODSTAVCE"/>
    <w:basedOn w:val="Normln"/>
    <w:rsid w:val="00D3217B"/>
    <w:pPr>
      <w:numPr>
        <w:numId w:val="16"/>
      </w:numPr>
      <w:spacing w:after="0" w:line="288" w:lineRule="auto"/>
    </w:pPr>
    <w:rPr>
      <w:rFonts w:ascii="Arial" w:eastAsia="Times New Roman" w:hAnsi="Arial" w:cs="Arial"/>
      <w:szCs w:val="24"/>
      <w:lang w:eastAsia="cs-CZ"/>
    </w:rPr>
  </w:style>
  <w:style w:type="paragraph" w:customStyle="1" w:styleId="CM1">
    <w:name w:val="CM1"/>
    <w:basedOn w:val="Normln"/>
    <w:next w:val="Normln"/>
    <w:uiPriority w:val="99"/>
    <w:rsid w:val="00D32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F943EB"/>
    <w:pPr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F943EB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Zstupntext">
    <w:name w:val="Placeholder Text"/>
    <w:basedOn w:val="Standardnpsmoodstavce"/>
    <w:uiPriority w:val="99"/>
    <w:semiHidden/>
    <w:rsid w:val="00B860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5814C2-7ED6-484E-AAFC-985398EC1B87}"/>
      </w:docPartPr>
      <w:docPartBody>
        <w:p w:rsidR="00EF407A" w:rsidRDefault="009070E0">
          <w:r w:rsidRPr="006E5D0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5200FDFF" w:usb2="0A042021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0E0"/>
    <w:rsid w:val="00402396"/>
    <w:rsid w:val="008439D0"/>
    <w:rsid w:val="009070E0"/>
    <w:rsid w:val="00EF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70E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2152</Words>
  <Characters>12701</Characters>
  <Application>Microsoft Office Word</Application>
  <DocSecurity>0</DocSecurity>
  <Lines>105</Lines>
  <Paragraphs>29</Paragraphs>
  <ScaleCrop>false</ScaleCrop>
  <Company/>
  <LinksUpToDate>false</LinksUpToDate>
  <CharactersWithSpaces>14824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2025-11-20T15:10:00Z</dcterms:created>
  <dcterms:modified xsi:type="dcterms:W3CDTF">2025-11-20T15:10:00Z</dcterms:modified>
</cp:coreProperties>
</file>